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3A34B2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3A34B2" w:rsidTr="004F6A51">
        <w:tc>
          <w:tcPr>
            <w:tcW w:w="4503" w:type="dxa"/>
          </w:tcPr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7AB44D5" wp14:editId="607C81E8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3A34B2" w:rsidTr="004F6A51">
        <w:tc>
          <w:tcPr>
            <w:tcW w:w="4503" w:type="dxa"/>
          </w:tcPr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МИНИСТАРСТВО ТРГОВИНЕ, 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ТУРИЗМА И ТЕЛЕКОМУНИКАЦИЈА</w:t>
            </w:r>
          </w:p>
          <w:p w:rsidR="00776499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301B7B">
              <w:rPr>
                <w:rFonts w:ascii="Times New Roman" w:hAnsi="Times New Roman"/>
                <w:sz w:val="24"/>
                <w:szCs w:val="24"/>
                <w:lang w:val="sr-Cyrl-RS"/>
              </w:rPr>
              <w:t>404-02-9/2016-02/6</w:t>
            </w:r>
          </w:p>
          <w:p w:rsidR="009B4C14" w:rsidRPr="003A34B2" w:rsidRDefault="007705D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21</w:t>
            </w:r>
            <w:r w:rsidR="001C4595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.03</w:t>
            </w:r>
            <w:r w:rsidR="009B4C14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1C4595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2016</w:t>
            </w:r>
            <w:r w:rsidR="009B4C14"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Немањина 22-26</w:t>
            </w:r>
          </w:p>
          <w:p w:rsidR="009B4C14" w:rsidRPr="003A34B2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34B2">
              <w:rPr>
                <w:rFonts w:ascii="Times New Roman" w:hAnsi="Times New Roman"/>
                <w:sz w:val="24"/>
                <w:szCs w:val="24"/>
                <w:lang w:val="sr-Cyrl-RS"/>
              </w:rPr>
              <w:t>Б е о г р а д</w:t>
            </w:r>
          </w:p>
        </w:tc>
      </w:tr>
    </w:tbl>
    <w:p w:rsidR="009B4C14" w:rsidRPr="003A34B2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3A34B2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3A34B2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3A34B2" w:rsidRDefault="007705D4" w:rsidP="009B4C1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A34B2">
        <w:rPr>
          <w:rFonts w:ascii="Times New Roman" w:hAnsi="Times New Roman"/>
          <w:b/>
          <w:sz w:val="24"/>
          <w:szCs w:val="24"/>
          <w:lang w:val="sr-Cyrl-RS"/>
        </w:rPr>
        <w:t>Одговор 2</w:t>
      </w:r>
      <w:r w:rsidR="009B4C14"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 на захтев за додатне информације или појашњења у вези са</w:t>
      </w:r>
    </w:p>
    <w:p w:rsidR="009B4C14" w:rsidRPr="003A34B2" w:rsidRDefault="009B4C14" w:rsidP="009B4C14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 припремањем понуде</w:t>
      </w:r>
    </w:p>
    <w:p w:rsidR="009B4C14" w:rsidRPr="003A34B2" w:rsidRDefault="009B4C14" w:rsidP="009B4C14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B14EA" w:rsidRPr="003A34B2" w:rsidRDefault="009B4C14" w:rsidP="00FD5BC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3A34B2">
        <w:rPr>
          <w:rFonts w:ascii="Times New Roman" w:hAnsi="Times New Roman"/>
          <w:sz w:val="24"/>
          <w:szCs w:val="24"/>
          <w:lang w:val="sr-Cyrl-RS"/>
        </w:rPr>
        <w:t xml:space="preserve">             У складу са чланом 63. став 3. Закона о јавним набавкама („Службени гласник РС” број 124/12</w:t>
      </w:r>
      <w:r w:rsidR="00827F03" w:rsidRPr="003A34B2">
        <w:rPr>
          <w:rFonts w:ascii="Times New Roman" w:hAnsi="Times New Roman"/>
          <w:sz w:val="24"/>
          <w:szCs w:val="24"/>
          <w:lang w:val="sr-Cyrl-RS"/>
        </w:rPr>
        <w:t>, 14/15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, 68/15</w:t>
      </w:r>
      <w:r w:rsidRPr="003A34B2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објављујемо</w:t>
      </w:r>
      <w:r w:rsidRPr="003A34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1566" w:rsidRPr="003A34B2">
        <w:rPr>
          <w:rFonts w:ascii="Times New Roman" w:hAnsi="Times New Roman"/>
          <w:b/>
          <w:sz w:val="24"/>
          <w:szCs w:val="24"/>
          <w:u w:val="single"/>
          <w:lang w:val="sr-Cyrl-RS"/>
        </w:rPr>
        <w:t>Одговор 2</w:t>
      </w:r>
      <w:r w:rsidRPr="003A34B2">
        <w:rPr>
          <w:rFonts w:ascii="Times New Roman" w:hAnsi="Times New Roman"/>
          <w:sz w:val="24"/>
          <w:szCs w:val="24"/>
          <w:lang w:val="sr-Cyrl-RS"/>
        </w:rPr>
        <w:t xml:space="preserve"> на захтев за додатне информације или појашњења у вези са припремањем понуде за јавну набавку 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добара</w:t>
      </w:r>
      <w:r w:rsidR="00AA78D2" w:rsidRPr="003A34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- набавка комуникационе опреме за умрежавање образовних институција</w:t>
      </w:r>
      <w:r w:rsidR="001B14EA" w:rsidRPr="003A34B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4595" w:rsidRPr="003A34B2">
        <w:rPr>
          <w:rFonts w:ascii="Times New Roman" w:hAnsi="Times New Roman"/>
          <w:sz w:val="24"/>
          <w:szCs w:val="24"/>
          <w:lang w:val="sr-Cyrl-RS"/>
        </w:rPr>
        <w:t>број јавне набавке О-1/2016</w:t>
      </w:r>
      <w:r w:rsidR="001B14EA" w:rsidRPr="003A34B2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1B14EA" w:rsidRPr="003A34B2" w:rsidRDefault="001B14EA" w:rsidP="00FD5BC4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27364C" w:rsidRPr="003A34B2" w:rsidRDefault="001B14EA" w:rsidP="0027364C">
      <w:pPr>
        <w:pStyle w:val="Pasussalistom"/>
        <w:numPr>
          <w:ilvl w:val="0"/>
          <w:numId w:val="7"/>
        </w:numPr>
        <w:jc w:val="both"/>
        <w:rPr>
          <w:rFonts w:eastAsia="Calibri"/>
          <w:noProof/>
          <w:sz w:val="24"/>
          <w:szCs w:val="24"/>
          <w:lang w:val="sr-Latn-RS"/>
        </w:rPr>
      </w:pPr>
      <w:r w:rsidRPr="003A34B2">
        <w:rPr>
          <w:b/>
          <w:sz w:val="24"/>
          <w:szCs w:val="24"/>
          <w:u w:val="single"/>
          <w:lang w:val="sr-Cyrl-RS"/>
        </w:rPr>
        <w:t>Питање:</w:t>
      </w:r>
      <w:r w:rsidRPr="003A34B2">
        <w:rPr>
          <w:b/>
          <w:sz w:val="24"/>
          <w:szCs w:val="24"/>
          <w:lang w:val="sr-Cyrl-RS"/>
        </w:rPr>
        <w:t xml:space="preserve"> </w:t>
      </w:r>
      <w:r w:rsidR="0027364C" w:rsidRPr="003A34B2">
        <w:rPr>
          <w:rFonts w:eastAsia="Calibri"/>
          <w:noProof/>
          <w:sz w:val="24"/>
          <w:szCs w:val="24"/>
          <w:lang w:val="sr-Latn-RS"/>
        </w:rPr>
        <w:t>У погледу додатног услова дефинисаног на страни 34 од 91, под тачком 6.:</w:t>
      </w:r>
    </w:p>
    <w:p w:rsidR="0027364C" w:rsidRPr="003A34B2" w:rsidRDefault="0027364C" w:rsidP="0027364C">
      <w:pPr>
        <w:pStyle w:val="Pasussalistom"/>
        <w:ind w:left="360"/>
        <w:jc w:val="both"/>
        <w:rPr>
          <w:rFonts w:eastAsia="Calibri"/>
          <w:noProof/>
          <w:sz w:val="24"/>
          <w:szCs w:val="24"/>
          <w:lang w:val="sr-Latn-RS"/>
        </w:rPr>
      </w:pPr>
    </w:p>
    <w:p w:rsidR="0027364C" w:rsidRPr="003A34B2" w:rsidRDefault="0027364C" w:rsidP="0027364C">
      <w:pPr>
        <w:pStyle w:val="Pasussalistom"/>
        <w:ind w:left="360"/>
        <w:jc w:val="both"/>
        <w:rPr>
          <w:rFonts w:eastAsia="Calibri"/>
          <w:noProof/>
          <w:sz w:val="24"/>
          <w:szCs w:val="24"/>
          <w:lang w:val="sr-Latn-RS"/>
        </w:rPr>
      </w:pPr>
      <w:r w:rsidRPr="003A34B2">
        <w:rPr>
          <w:rFonts w:eastAsia="Calibri"/>
          <w:noProof/>
          <w:sz w:val="24"/>
          <w:szCs w:val="24"/>
          <w:lang w:val="sr-Latn-RS"/>
        </w:rPr>
        <w:t xml:space="preserve">“Понуђач мора да има минимално </w:t>
      </w:r>
      <w:r w:rsidRPr="003A34B2">
        <w:rPr>
          <w:rFonts w:eastAsia="Calibri"/>
          <w:b/>
          <w:bCs/>
          <w:noProof/>
          <w:sz w:val="24"/>
          <w:szCs w:val="24"/>
          <w:lang w:val="sr-Latn-RS"/>
        </w:rPr>
        <w:t xml:space="preserve">један реализован уговор </w:t>
      </w:r>
      <w:r w:rsidRPr="003A34B2">
        <w:rPr>
          <w:rFonts w:eastAsia="Calibri"/>
          <w:noProof/>
          <w:sz w:val="24"/>
          <w:szCs w:val="24"/>
          <w:lang w:val="sr-Latn-RS"/>
        </w:rPr>
        <w:t xml:space="preserve">у последње три године од дана истека рока за подношење понуда </w:t>
      </w:r>
      <w:r w:rsidRPr="003A34B2">
        <w:rPr>
          <w:rFonts w:eastAsia="Calibri"/>
          <w:b/>
          <w:bCs/>
          <w:noProof/>
          <w:sz w:val="24"/>
          <w:szCs w:val="24"/>
          <w:lang w:val="sr-Latn-RS"/>
        </w:rPr>
        <w:t>чији предмет је испорука, инсталација и пуштање у рад</w:t>
      </w:r>
      <w:r w:rsidRPr="003A34B2">
        <w:rPr>
          <w:rFonts w:eastAsia="Calibri"/>
          <w:noProof/>
          <w:sz w:val="24"/>
          <w:szCs w:val="24"/>
          <w:lang w:val="sr-Latn-RS"/>
        </w:rPr>
        <w:t xml:space="preserve"> </w:t>
      </w:r>
      <w:r w:rsidRPr="003A34B2">
        <w:rPr>
          <w:rFonts w:eastAsia="Calibri"/>
          <w:b/>
          <w:bCs/>
          <w:noProof/>
          <w:sz w:val="24"/>
          <w:szCs w:val="24"/>
          <w:lang w:val="sr-Latn-RS"/>
        </w:rPr>
        <w:t>активне мрежне опреме</w:t>
      </w:r>
      <w:r w:rsidRPr="003A34B2">
        <w:rPr>
          <w:rFonts w:eastAsia="Calibri"/>
          <w:noProof/>
          <w:sz w:val="24"/>
          <w:szCs w:val="24"/>
          <w:lang w:val="sr-Latn-RS"/>
        </w:rPr>
        <w:t xml:space="preserve"> на више од 100 различитих локација у периоду не дужем од 6 месеци. Уговор може бити закључен и пре релевантног периода.”</w:t>
      </w:r>
    </w:p>
    <w:p w:rsidR="0027364C" w:rsidRPr="003A34B2" w:rsidRDefault="0027364C" w:rsidP="0027364C">
      <w:pPr>
        <w:pStyle w:val="Pasussalistom"/>
        <w:ind w:left="360"/>
        <w:jc w:val="both"/>
        <w:rPr>
          <w:rFonts w:eastAsia="Calibri"/>
          <w:noProof/>
          <w:sz w:val="24"/>
          <w:szCs w:val="24"/>
          <w:lang w:val="sr-Latn-RS"/>
        </w:rPr>
      </w:pPr>
    </w:p>
    <w:p w:rsidR="0027364C" w:rsidRPr="003A34B2" w:rsidRDefault="0027364C" w:rsidP="0027364C">
      <w:pPr>
        <w:pStyle w:val="Pasussalistom"/>
        <w:ind w:left="360"/>
        <w:jc w:val="both"/>
        <w:rPr>
          <w:rFonts w:eastAsia="Calibri"/>
          <w:noProof/>
          <w:sz w:val="24"/>
          <w:szCs w:val="24"/>
          <w:lang w:val="sr-Latn-RS"/>
        </w:rPr>
      </w:pPr>
      <w:r w:rsidRPr="003A34B2">
        <w:rPr>
          <w:rFonts w:eastAsia="Calibri"/>
          <w:noProof/>
          <w:sz w:val="24"/>
          <w:szCs w:val="24"/>
          <w:lang w:val="sr-Latn-RS"/>
        </w:rPr>
        <w:t xml:space="preserve">Да ли се као доказ горе наведеног услова уместо једног уговора чији је предмет испорука, инсталација и пуштање у рад активне мрежне опреме, може прихватити да Вам понуђач достави више </w:t>
      </w:r>
      <w:r w:rsidRPr="003A34B2">
        <w:rPr>
          <w:rFonts w:eastAsia="Calibri"/>
          <w:bCs/>
          <w:noProof/>
          <w:sz w:val="24"/>
          <w:szCs w:val="24"/>
          <w:lang w:val="sr-Latn-RS"/>
        </w:rPr>
        <w:t>уговора</w:t>
      </w:r>
      <w:r w:rsidRPr="003A34B2">
        <w:rPr>
          <w:rFonts w:eastAsia="Calibri"/>
          <w:noProof/>
          <w:sz w:val="24"/>
          <w:szCs w:val="24"/>
          <w:lang w:val="sr-Latn-RS"/>
        </w:rPr>
        <w:t xml:space="preserve"> са истим клијентом, тако да предмет једног уговора буде </w:t>
      </w:r>
      <w:r w:rsidRPr="003A34B2">
        <w:rPr>
          <w:rFonts w:eastAsia="Calibri"/>
          <w:bCs/>
          <w:noProof/>
          <w:sz w:val="24"/>
          <w:szCs w:val="24"/>
          <w:lang w:val="sr-Latn-RS"/>
        </w:rPr>
        <w:t>испорука активне мрежне опреме</w:t>
      </w:r>
      <w:r w:rsidRPr="003A34B2">
        <w:rPr>
          <w:rFonts w:eastAsia="Calibri"/>
          <w:noProof/>
          <w:sz w:val="24"/>
          <w:szCs w:val="24"/>
          <w:lang w:val="sr-Latn-RS"/>
        </w:rPr>
        <w:t xml:space="preserve">, а предмет </w:t>
      </w:r>
      <w:r w:rsidRPr="003A34B2">
        <w:rPr>
          <w:rFonts w:eastAsia="Calibri"/>
          <w:bCs/>
          <w:noProof/>
          <w:sz w:val="24"/>
          <w:szCs w:val="24"/>
          <w:lang w:val="sr-Latn-RS"/>
        </w:rPr>
        <w:t>другог уговора буде имплементација и пуштање у рад</w:t>
      </w:r>
      <w:r w:rsidRPr="003A34B2">
        <w:rPr>
          <w:rFonts w:eastAsia="Calibri"/>
          <w:noProof/>
          <w:sz w:val="24"/>
          <w:szCs w:val="24"/>
          <w:lang w:val="sr-Latn-RS"/>
        </w:rPr>
        <w:t xml:space="preserve"> </w:t>
      </w:r>
      <w:r w:rsidRPr="003A34B2">
        <w:rPr>
          <w:rFonts w:eastAsia="Calibri"/>
          <w:bCs/>
          <w:noProof/>
          <w:sz w:val="24"/>
          <w:szCs w:val="24"/>
          <w:lang w:val="sr-Latn-RS"/>
        </w:rPr>
        <w:t>испоручене</w:t>
      </w:r>
      <w:r w:rsidRPr="003A34B2">
        <w:rPr>
          <w:rFonts w:eastAsia="Calibri"/>
          <w:noProof/>
          <w:sz w:val="24"/>
          <w:szCs w:val="24"/>
          <w:lang w:val="sr-Latn-RS"/>
        </w:rPr>
        <w:t xml:space="preserve"> активне мрежне опреме на више од 100 различитих локација у периоду не дужем од 6 месеци?</w:t>
      </w:r>
    </w:p>
    <w:p w:rsidR="0027364C" w:rsidRPr="003A34B2" w:rsidRDefault="0027364C" w:rsidP="0027364C">
      <w:pPr>
        <w:pStyle w:val="Pasussalistom"/>
        <w:ind w:left="360"/>
        <w:jc w:val="both"/>
        <w:rPr>
          <w:rFonts w:eastAsia="Calibri"/>
          <w:noProof/>
          <w:sz w:val="24"/>
          <w:szCs w:val="24"/>
          <w:lang w:val="sr-Latn-RS"/>
        </w:rPr>
      </w:pPr>
    </w:p>
    <w:p w:rsidR="0027364C" w:rsidRPr="003A34B2" w:rsidRDefault="0027364C" w:rsidP="0027364C">
      <w:pPr>
        <w:pStyle w:val="Pasussalistom"/>
        <w:ind w:left="360"/>
        <w:jc w:val="both"/>
        <w:rPr>
          <w:rFonts w:eastAsia="Calibri"/>
          <w:noProof/>
          <w:sz w:val="24"/>
          <w:szCs w:val="24"/>
          <w:lang w:val="sr-Latn-RS"/>
        </w:rPr>
      </w:pPr>
      <w:r w:rsidRPr="003A34B2">
        <w:rPr>
          <w:rFonts w:eastAsia="Calibri"/>
          <w:noProof/>
          <w:sz w:val="24"/>
          <w:szCs w:val="24"/>
          <w:lang w:val="sr-Latn-RS"/>
        </w:rPr>
        <w:t>Уколико је наш предлог у погледу траженог услова прихватљив, предлажемо да Образац 11/2 – потврда о референцама 2 измените у складу са горе наведеним.</w:t>
      </w:r>
    </w:p>
    <w:p w:rsidR="00353B70" w:rsidRPr="003A34B2" w:rsidRDefault="00353B70" w:rsidP="0027364C">
      <w:pPr>
        <w:pStyle w:val="Pasussalistom"/>
        <w:ind w:left="0"/>
        <w:jc w:val="both"/>
        <w:rPr>
          <w:b/>
          <w:sz w:val="24"/>
          <w:szCs w:val="24"/>
          <w:u w:val="single"/>
          <w:lang w:val="sr-Cyrl-RS"/>
        </w:rPr>
      </w:pPr>
    </w:p>
    <w:p w:rsidR="0027364C" w:rsidRPr="00FF54CE" w:rsidRDefault="0027364C" w:rsidP="0027364C">
      <w:pPr>
        <w:pStyle w:val="Pasussalistom"/>
        <w:numPr>
          <w:ilvl w:val="0"/>
          <w:numId w:val="8"/>
        </w:numPr>
        <w:jc w:val="both"/>
        <w:rPr>
          <w:b/>
          <w:sz w:val="24"/>
          <w:szCs w:val="24"/>
          <w:highlight w:val="yellow"/>
          <w:u w:val="single"/>
          <w:lang w:val="sr-Latn-RS"/>
        </w:rPr>
      </w:pPr>
      <w:r w:rsidRPr="003A34B2">
        <w:rPr>
          <w:b/>
          <w:sz w:val="24"/>
          <w:szCs w:val="24"/>
          <w:highlight w:val="yellow"/>
          <w:u w:val="single"/>
          <w:lang w:val="sr-Cyrl-RS"/>
        </w:rPr>
        <w:t xml:space="preserve">Одговор: </w:t>
      </w:r>
    </w:p>
    <w:p w:rsidR="00FF54CE" w:rsidRDefault="00FF54CE" w:rsidP="00FF54CE">
      <w:pPr>
        <w:tabs>
          <w:tab w:val="left" w:pos="284"/>
          <w:tab w:val="left" w:pos="1440"/>
        </w:tabs>
        <w:ind w:left="360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:rsidR="00FF54CE" w:rsidRDefault="00FF54CE" w:rsidP="00FF54CE">
      <w:pPr>
        <w:tabs>
          <w:tab w:val="left" w:pos="284"/>
          <w:tab w:val="left" w:pos="1440"/>
        </w:tabs>
        <w:ind w:left="360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highlight w:val="yellow"/>
          <w:lang w:val="sr-Cyrl-RS"/>
        </w:rPr>
        <w:lastRenderedPageBreak/>
        <w:t>Имајући у виду да је суштина захтева да Понуђач демонстрира референтно искуство за Наручиоца је прихватљиво уколико је референтни посао изведен кроз реализацију више уговора. У том смислу Наручилац ће урадити измену конкурсне документације</w:t>
      </w:r>
      <w:r w:rsidR="00307E86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и продужити рок за подношење понуда</w:t>
      </w:r>
      <w:r>
        <w:rPr>
          <w:rFonts w:ascii="Times New Roman" w:hAnsi="Times New Roman"/>
          <w:sz w:val="24"/>
          <w:szCs w:val="24"/>
          <w:highlight w:val="yellow"/>
          <w:lang w:val="sr-Cyrl-RS"/>
        </w:rPr>
        <w:t>.</w:t>
      </w:r>
    </w:p>
    <w:p w:rsidR="00FF54CE" w:rsidRPr="009A5848" w:rsidRDefault="009A5848" w:rsidP="00FF54CE">
      <w:pPr>
        <w:tabs>
          <w:tab w:val="left" w:pos="284"/>
          <w:tab w:val="left" w:pos="1440"/>
        </w:tabs>
        <w:ind w:left="360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>Нов</w:t>
      </w:r>
      <w:r w:rsidR="00FF54CE"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текста услова</w:t>
      </w:r>
      <w:r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је</w:t>
      </w:r>
      <w:r w:rsidR="00FF54CE"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>:</w:t>
      </w:r>
    </w:p>
    <w:p w:rsidR="005D46FF" w:rsidRPr="000A2279" w:rsidRDefault="00FF54CE" w:rsidP="00D975E7">
      <w:pPr>
        <w:tabs>
          <w:tab w:val="left" w:pos="284"/>
          <w:tab w:val="left" w:pos="1440"/>
        </w:tabs>
        <w:ind w:left="360"/>
        <w:jc w:val="both"/>
        <w:rPr>
          <w:rFonts w:ascii="Times New Roman" w:hAnsi="Times New Roman"/>
          <w:sz w:val="24"/>
          <w:szCs w:val="24"/>
          <w:highlight w:val="cyan"/>
          <w:lang w:val="sr-Cyrl-RS"/>
        </w:rPr>
      </w:pPr>
      <w:r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Понуђач мора да има минимално једну </w:t>
      </w:r>
      <w:proofErr w:type="spellStart"/>
      <w:r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>реферецу</w:t>
      </w:r>
      <w:proofErr w:type="spellEnd"/>
      <w:r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у последње три године од дана истека рока за подношење понуда чији предмет је испорука, инсталација и пуштање у рад активне мрежне опреме на више од 100 различитих локација у периоду не дужем од 6 месеци. Референца може бити стечена кроз један или више уговора са истим наручиоцем уз услов да</w:t>
      </w:r>
      <w:r w:rsidR="009A5848"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кумулативно трајање уговора од</w:t>
      </w:r>
      <w:r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носно реализација посла мора бити краћа од 6 месеци. </w:t>
      </w:r>
    </w:p>
    <w:p w:rsidR="0027364C" w:rsidRPr="003A34B2" w:rsidRDefault="0027364C" w:rsidP="0027364C">
      <w:pPr>
        <w:spacing w:after="160"/>
        <w:jc w:val="both"/>
        <w:rPr>
          <w:rFonts w:ascii="Times New Roman" w:hAnsi="Times New Roman"/>
          <w:noProof/>
          <w:sz w:val="24"/>
          <w:szCs w:val="24"/>
          <w:lang w:val="sr-Latn-RS"/>
        </w:rPr>
      </w:pPr>
      <w:r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     2. </w:t>
      </w:r>
      <w:r w:rsidRPr="003A34B2">
        <w:rPr>
          <w:rFonts w:ascii="Times New Roman" w:hAnsi="Times New Roman"/>
          <w:b/>
          <w:sz w:val="24"/>
          <w:szCs w:val="24"/>
          <w:u w:val="single"/>
          <w:lang w:val="sr-Cyrl-RS"/>
        </w:rPr>
        <w:t>Питање</w:t>
      </w:r>
      <w:r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3A34B2">
        <w:rPr>
          <w:rFonts w:ascii="Times New Roman" w:hAnsi="Times New Roman"/>
          <w:noProof/>
          <w:sz w:val="24"/>
          <w:szCs w:val="24"/>
          <w:lang w:val="sr-Latn-RS"/>
        </w:rPr>
        <w:t>У вези попуњавања следећих образаца:</w:t>
      </w:r>
    </w:p>
    <w:p w:rsidR="0027364C" w:rsidRPr="003A34B2" w:rsidRDefault="0027364C" w:rsidP="0027364C">
      <w:pPr>
        <w:pStyle w:val="Pasussalistom"/>
        <w:ind w:left="360"/>
        <w:jc w:val="both"/>
        <w:rPr>
          <w:noProof/>
          <w:sz w:val="24"/>
          <w:szCs w:val="24"/>
          <w:lang w:val="sr-Latn-RS"/>
        </w:rPr>
      </w:pPr>
    </w:p>
    <w:p w:rsidR="0027364C" w:rsidRPr="003A34B2" w:rsidRDefault="0027364C" w:rsidP="0027364C">
      <w:pPr>
        <w:pStyle w:val="Pasussalistom"/>
        <w:ind w:left="360"/>
        <w:jc w:val="both"/>
        <w:rPr>
          <w:noProof/>
          <w:sz w:val="24"/>
          <w:szCs w:val="24"/>
          <w:lang w:val="sr-Latn-RS"/>
        </w:rPr>
      </w:pPr>
      <w:r w:rsidRPr="003A34B2">
        <w:rPr>
          <w:noProof/>
          <w:sz w:val="24"/>
          <w:szCs w:val="24"/>
          <w:lang w:val="sr-Latn-RS"/>
        </w:rPr>
        <w:t>•</w:t>
      </w:r>
      <w:r w:rsidRPr="003A34B2">
        <w:rPr>
          <w:noProof/>
          <w:sz w:val="24"/>
          <w:szCs w:val="24"/>
          <w:lang w:val="sr-Latn-RS"/>
        </w:rPr>
        <w:tab/>
        <w:t xml:space="preserve">10/1 Образац - Потврда о референцама 1 </w:t>
      </w:r>
    </w:p>
    <w:p w:rsidR="0027364C" w:rsidRPr="003A34B2" w:rsidRDefault="0027364C" w:rsidP="0027364C">
      <w:pPr>
        <w:pStyle w:val="Pasussalistom"/>
        <w:ind w:left="360"/>
        <w:jc w:val="both"/>
        <w:rPr>
          <w:noProof/>
          <w:sz w:val="24"/>
          <w:szCs w:val="24"/>
          <w:lang w:val="sr-Latn-RS"/>
        </w:rPr>
      </w:pPr>
      <w:r w:rsidRPr="003A34B2">
        <w:rPr>
          <w:noProof/>
          <w:sz w:val="24"/>
          <w:szCs w:val="24"/>
          <w:lang w:val="sr-Latn-RS"/>
        </w:rPr>
        <w:t>•</w:t>
      </w:r>
      <w:r w:rsidRPr="003A34B2">
        <w:rPr>
          <w:noProof/>
          <w:sz w:val="24"/>
          <w:szCs w:val="24"/>
          <w:lang w:val="sr-Latn-RS"/>
        </w:rPr>
        <w:tab/>
        <w:t>11/2 Образац - Потврда о референцама 2</w:t>
      </w:r>
    </w:p>
    <w:p w:rsidR="0027364C" w:rsidRPr="003A34B2" w:rsidRDefault="0027364C" w:rsidP="0027364C">
      <w:pPr>
        <w:pStyle w:val="Pasussalistom"/>
        <w:ind w:left="360"/>
        <w:jc w:val="both"/>
        <w:rPr>
          <w:noProof/>
          <w:sz w:val="24"/>
          <w:szCs w:val="24"/>
          <w:lang w:val="sr-Latn-RS"/>
        </w:rPr>
      </w:pPr>
      <w:r w:rsidRPr="003A34B2">
        <w:rPr>
          <w:noProof/>
          <w:sz w:val="24"/>
          <w:szCs w:val="24"/>
          <w:lang w:val="sr-Latn-RS"/>
        </w:rPr>
        <w:t>•</w:t>
      </w:r>
      <w:r w:rsidRPr="003A34B2">
        <w:rPr>
          <w:noProof/>
          <w:sz w:val="24"/>
          <w:szCs w:val="24"/>
          <w:lang w:val="sr-Latn-RS"/>
        </w:rPr>
        <w:tab/>
        <w:t>11/3 Образац – Потврда о референцама 3</w:t>
      </w:r>
    </w:p>
    <w:p w:rsidR="0027364C" w:rsidRPr="003A34B2" w:rsidRDefault="0027364C" w:rsidP="0027364C">
      <w:pPr>
        <w:pStyle w:val="Pasussalistom"/>
        <w:ind w:left="360"/>
        <w:jc w:val="both"/>
        <w:rPr>
          <w:noProof/>
          <w:sz w:val="24"/>
          <w:szCs w:val="24"/>
          <w:lang w:val="sr-Latn-RS"/>
        </w:rPr>
      </w:pPr>
    </w:p>
    <w:p w:rsidR="0027364C" w:rsidRPr="003A34B2" w:rsidRDefault="0027364C" w:rsidP="0027364C">
      <w:pPr>
        <w:pStyle w:val="Pasussalistom"/>
        <w:ind w:left="360"/>
        <w:jc w:val="both"/>
        <w:rPr>
          <w:noProof/>
          <w:sz w:val="24"/>
          <w:szCs w:val="24"/>
          <w:lang w:val="sr-Latn-RS"/>
        </w:rPr>
      </w:pPr>
      <w:r w:rsidRPr="003A34B2">
        <w:rPr>
          <w:noProof/>
          <w:sz w:val="24"/>
          <w:szCs w:val="24"/>
          <w:lang w:val="sr-Latn-RS"/>
        </w:rPr>
        <w:t>Молимо Вас да дефинишете начин на који се могу попуњавати наведени обрасци у случају да је Референтни Наручилац страно правно лице.</w:t>
      </w:r>
    </w:p>
    <w:p w:rsidR="0027364C" w:rsidRPr="003A34B2" w:rsidRDefault="0027364C" w:rsidP="0027364C">
      <w:pPr>
        <w:pStyle w:val="Pasussalistom"/>
        <w:ind w:left="360"/>
        <w:jc w:val="both"/>
        <w:rPr>
          <w:noProof/>
          <w:sz w:val="24"/>
          <w:szCs w:val="24"/>
          <w:lang w:val="sr-Latn-RS"/>
        </w:rPr>
      </w:pPr>
    </w:p>
    <w:p w:rsidR="0027364C" w:rsidRPr="003A34B2" w:rsidRDefault="0027364C" w:rsidP="0027364C">
      <w:pPr>
        <w:pStyle w:val="Pasussalistom"/>
        <w:ind w:left="360"/>
        <w:jc w:val="both"/>
        <w:rPr>
          <w:noProof/>
          <w:sz w:val="24"/>
          <w:szCs w:val="24"/>
          <w:lang w:val="sr-Latn-RS"/>
        </w:rPr>
      </w:pPr>
      <w:r w:rsidRPr="003A34B2">
        <w:rPr>
          <w:noProof/>
          <w:sz w:val="24"/>
          <w:szCs w:val="24"/>
          <w:lang w:val="sr-Latn-RS"/>
        </w:rPr>
        <w:t>Да ли је прихватљиво да Референтни Наручилац потпише поменуте обрасце који су претходно преведени на службени језик државе Референтног Наручиоца, а да се потом тако потписана потврда преведе на српски језик?</w:t>
      </w:r>
    </w:p>
    <w:p w:rsidR="0027364C" w:rsidRPr="003A34B2" w:rsidRDefault="0027364C" w:rsidP="0027364C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27364C" w:rsidRPr="003A34B2" w:rsidRDefault="0027364C" w:rsidP="0027364C">
      <w:pPr>
        <w:pStyle w:val="Pasussalistom"/>
        <w:numPr>
          <w:ilvl w:val="0"/>
          <w:numId w:val="8"/>
        </w:numPr>
        <w:jc w:val="both"/>
        <w:rPr>
          <w:b/>
          <w:sz w:val="24"/>
          <w:szCs w:val="24"/>
          <w:highlight w:val="yellow"/>
          <w:u w:val="single"/>
          <w:lang w:val="sr-Cyrl-RS"/>
        </w:rPr>
      </w:pPr>
      <w:r w:rsidRPr="003A34B2">
        <w:rPr>
          <w:b/>
          <w:sz w:val="24"/>
          <w:szCs w:val="24"/>
          <w:highlight w:val="yellow"/>
          <w:u w:val="single"/>
          <w:lang w:val="sr-Cyrl-RS"/>
        </w:rPr>
        <w:t>Одговор:</w:t>
      </w:r>
      <w:r w:rsidR="00824D7A" w:rsidRPr="00824D7A">
        <w:rPr>
          <w:sz w:val="24"/>
          <w:szCs w:val="24"/>
          <w:highlight w:val="yellow"/>
          <w:u w:val="single"/>
          <w:lang w:val="sr-Cyrl-RS"/>
        </w:rPr>
        <w:t xml:space="preserve"> </w:t>
      </w:r>
      <w:r w:rsidR="00D975E7">
        <w:rPr>
          <w:sz w:val="24"/>
          <w:szCs w:val="24"/>
          <w:highlight w:val="yellow"/>
          <w:lang w:val="sr-Cyrl-RS"/>
        </w:rPr>
        <w:t xml:space="preserve">Прихвата се попуњена на страном језику, оверена печатом и </w:t>
      </w:r>
      <w:r w:rsidR="00A9420B">
        <w:rPr>
          <w:sz w:val="24"/>
          <w:szCs w:val="24"/>
          <w:highlight w:val="yellow"/>
          <w:lang w:val="sr-Cyrl-RS"/>
        </w:rPr>
        <w:t xml:space="preserve">потписана </w:t>
      </w:r>
      <w:r w:rsidR="00333E15">
        <w:rPr>
          <w:sz w:val="24"/>
          <w:szCs w:val="24"/>
          <w:highlight w:val="yellow"/>
          <w:lang w:val="sr-Cyrl-RS"/>
        </w:rPr>
        <w:t>од стране овлашћеног лица П</w:t>
      </w:r>
      <w:r w:rsidR="00A9420B">
        <w:rPr>
          <w:sz w:val="24"/>
          <w:szCs w:val="24"/>
          <w:highlight w:val="yellow"/>
          <w:lang w:val="sr-Cyrl-RS"/>
        </w:rPr>
        <w:t>отврда</w:t>
      </w:r>
      <w:r w:rsidR="00333E15">
        <w:rPr>
          <w:sz w:val="24"/>
          <w:szCs w:val="24"/>
          <w:highlight w:val="yellow"/>
          <w:lang w:val="sr-Cyrl-RS"/>
        </w:rPr>
        <w:t xml:space="preserve"> ранијег/референтног наручиоца</w:t>
      </w:r>
      <w:r w:rsidR="00D975E7">
        <w:rPr>
          <w:sz w:val="24"/>
          <w:szCs w:val="24"/>
          <w:highlight w:val="yellow"/>
          <w:lang w:val="sr-Cyrl-RS"/>
        </w:rPr>
        <w:t>. У прилогу понуђач је у том случају дужан да достави и њен</w:t>
      </w:r>
      <w:r w:rsidR="00824D7A">
        <w:rPr>
          <w:sz w:val="24"/>
          <w:szCs w:val="24"/>
          <w:highlight w:val="yellow"/>
          <w:lang w:val="sr-Cyrl-RS"/>
        </w:rPr>
        <w:t xml:space="preserve"> </w:t>
      </w:r>
      <w:r w:rsidR="00D975E7">
        <w:rPr>
          <w:sz w:val="24"/>
          <w:szCs w:val="24"/>
          <w:highlight w:val="yellow"/>
          <w:lang w:val="sr-Cyrl-RS"/>
        </w:rPr>
        <w:t>превод</w:t>
      </w:r>
      <w:r w:rsidR="00A9420B">
        <w:rPr>
          <w:sz w:val="24"/>
          <w:szCs w:val="24"/>
          <w:highlight w:val="yellow"/>
          <w:lang w:val="sr-Cyrl-RS"/>
        </w:rPr>
        <w:t xml:space="preserve"> на српски језик</w:t>
      </w:r>
      <w:r w:rsidR="00D975E7">
        <w:rPr>
          <w:sz w:val="24"/>
          <w:szCs w:val="24"/>
          <w:highlight w:val="yellow"/>
          <w:lang w:val="sr-Cyrl-RS"/>
        </w:rPr>
        <w:t xml:space="preserve"> оверен</w:t>
      </w:r>
      <w:r w:rsidR="00A9420B">
        <w:rPr>
          <w:sz w:val="24"/>
          <w:szCs w:val="24"/>
          <w:highlight w:val="yellow"/>
          <w:lang w:val="sr-Cyrl-RS"/>
        </w:rPr>
        <w:t xml:space="preserve"> од стране овлашћеног судског тумача.</w:t>
      </w:r>
      <w:r w:rsidR="00333E15">
        <w:rPr>
          <w:sz w:val="24"/>
          <w:szCs w:val="24"/>
          <w:highlight w:val="yellow"/>
          <w:lang w:val="sr-Cyrl-RS"/>
        </w:rPr>
        <w:t xml:space="preserve"> Потврда мора да садржи релевантне податке за оцену испуњености додатно</w:t>
      </w:r>
      <w:r w:rsidR="009549C2">
        <w:rPr>
          <w:sz w:val="24"/>
          <w:szCs w:val="24"/>
          <w:highlight w:val="yellow"/>
          <w:lang w:val="sr-Cyrl-RS"/>
        </w:rPr>
        <w:t>г</w:t>
      </w:r>
      <w:bookmarkStart w:id="0" w:name="_GoBack"/>
      <w:bookmarkEnd w:id="0"/>
      <w:r w:rsidR="00333E15">
        <w:rPr>
          <w:sz w:val="24"/>
          <w:szCs w:val="24"/>
          <w:highlight w:val="yellow"/>
          <w:lang w:val="sr-Cyrl-RS"/>
        </w:rPr>
        <w:t xml:space="preserve"> услова за учествовање.</w:t>
      </w:r>
    </w:p>
    <w:p w:rsidR="0027364C" w:rsidRPr="003A34B2" w:rsidRDefault="0027364C" w:rsidP="0027364C">
      <w:pPr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260F60" w:rsidRPr="000A2279" w:rsidRDefault="00260F60" w:rsidP="00260F60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      3.   </w:t>
      </w:r>
      <w:r w:rsidR="0027364C" w:rsidRPr="003A34B2">
        <w:rPr>
          <w:rFonts w:ascii="Times New Roman" w:hAnsi="Times New Roman"/>
          <w:b/>
          <w:sz w:val="24"/>
          <w:szCs w:val="24"/>
          <w:u w:val="single"/>
          <w:lang w:val="sr-Cyrl-RS"/>
        </w:rPr>
        <w:t>Питање</w:t>
      </w:r>
      <w:r w:rsidR="0027364C" w:rsidRPr="003A34B2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27364C" w:rsidRPr="003A34B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Са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обзиром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величину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мреже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будућа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проширења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ли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дозвољено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понудити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WLC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контролер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који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подржава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DHCP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proxy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функционалност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уместо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функционалности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локалног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DHCP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сервера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>?</w:t>
      </w:r>
    </w:p>
    <w:p w:rsidR="0027364C" w:rsidRPr="003A34B2" w:rsidRDefault="00260F60" w:rsidP="0027364C">
      <w:pPr>
        <w:pStyle w:val="Pasussalistom"/>
        <w:numPr>
          <w:ilvl w:val="0"/>
          <w:numId w:val="8"/>
        </w:numPr>
        <w:jc w:val="both"/>
        <w:rPr>
          <w:b/>
          <w:sz w:val="24"/>
          <w:szCs w:val="24"/>
          <w:highlight w:val="yellow"/>
          <w:u w:val="single"/>
          <w:lang w:val="sr-Cyrl-RS"/>
        </w:rPr>
      </w:pPr>
      <w:r w:rsidRPr="003A34B2">
        <w:rPr>
          <w:b/>
          <w:sz w:val="24"/>
          <w:szCs w:val="24"/>
          <w:highlight w:val="yellow"/>
          <w:u w:val="single"/>
          <w:lang w:val="sr-Cyrl-RS"/>
        </w:rPr>
        <w:t>Одговор:</w:t>
      </w:r>
    </w:p>
    <w:p w:rsidR="00B66C93" w:rsidRDefault="00B66C93" w:rsidP="0027364C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364C" w:rsidRPr="000A2279" w:rsidRDefault="00F119AB" w:rsidP="0027364C">
      <w:pPr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lastRenderedPageBreak/>
        <w:t xml:space="preserve">Прихватљиво је понудити WLC контролер који подржава или DHCP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proxy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>функционалност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(екстерни </w:t>
      </w:r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DHCP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>сервер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) или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>функционалност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>локалног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DHCP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>сервера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(интерни </w:t>
      </w:r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DHCP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Latn-RS"/>
        </w:rPr>
        <w:t>сервер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).</w:t>
      </w:r>
    </w:p>
    <w:p w:rsidR="009C5C1F" w:rsidRPr="00F119AB" w:rsidRDefault="00F119AB" w:rsidP="0027364C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С обзиром на дати одговор, Комисија за јавну набавку ће извршити измену и допуну конкурсне документације, тако да за добро под редним бројем 4 -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Систeм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зa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цeнтрaлизoвaнo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упрaвљaњe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и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нaдглeдaњe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бeжичнoм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инфрaструктурoм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, на страни 48. Конкурсне документације, </w:t>
      </w:r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ставка „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Moгућнoст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кoнфигурисaњa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лoкaлнoг</w:t>
      </w:r>
      <w:proofErr w:type="spellEnd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DHCP </w:t>
      </w:r>
      <w:proofErr w:type="spellStart"/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сeрвeрa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“</w:t>
      </w:r>
      <w:r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сада гласи: „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Moгућнoст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кoнфигурисaњa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DHCP 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сeрвeрa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“ – „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Зaхтeвa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сe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мoгућнoст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кoнфигурисaњa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интерног </w:t>
      </w:r>
      <w:r w:rsidR="00200847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(лока</w:t>
      </w:r>
      <w:r w:rsidR="00C7306B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л</w:t>
      </w:r>
      <w:r w:rsidR="00200847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ног) </w:t>
      </w:r>
      <w:r w:rsidR="00C7306B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и/</w:t>
      </w:r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или екстерног DHCP 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сeрвeрa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зa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све 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крeирaнe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WLAN-</w:t>
      </w:r>
      <w:proofErr w:type="spellStart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>oвe</w:t>
      </w:r>
      <w:proofErr w:type="spellEnd"/>
      <w:r w:rsidR="00B66C93" w:rsidRPr="000A2279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на примарном делу система.“</w:t>
      </w:r>
    </w:p>
    <w:p w:rsidR="00260F60" w:rsidRPr="003A34B2" w:rsidRDefault="00260F60" w:rsidP="00260F60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       4.   </w:t>
      </w:r>
      <w:r w:rsidRPr="003A34B2">
        <w:rPr>
          <w:rFonts w:ascii="Times New Roman" w:hAnsi="Times New Roman"/>
          <w:b/>
          <w:sz w:val="24"/>
          <w:szCs w:val="24"/>
          <w:u w:val="single"/>
          <w:lang w:val="sr-Cyrl-RS"/>
        </w:rPr>
        <w:t>Питање</w:t>
      </w:r>
      <w:r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3A34B2">
        <w:rPr>
          <w:rFonts w:ascii="Times New Roman" w:hAnsi="Times New Roman"/>
          <w:sz w:val="24"/>
          <w:szCs w:val="24"/>
          <w:lang w:val="sr-Latn-RS"/>
        </w:rPr>
        <w:t xml:space="preserve">У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тачки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3.13 -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Обавезна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средства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обезбеђења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испуњења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обавеза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понуђача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изабраног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понуђача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>/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добављача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подтачки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А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наводите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важност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банкарске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гаранције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озбиљност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понуде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мора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буде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најмање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колико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понуде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, а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писма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о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намерама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није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наведен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важности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.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Обзиром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се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ради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о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обавезујућим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писмима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о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намерама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њима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мора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бити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дефинисан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писма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о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намерама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. </w:t>
      </w:r>
    </w:p>
    <w:p w:rsidR="0010795C" w:rsidRPr="003A34B2" w:rsidRDefault="00260F60" w:rsidP="00260F60">
      <w:pPr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ли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писма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о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намерама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60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дана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колико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важност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понуде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>?</w:t>
      </w:r>
    </w:p>
    <w:p w:rsidR="00A7369B" w:rsidRDefault="00260F60" w:rsidP="00260F60">
      <w:pPr>
        <w:pStyle w:val="Pasussalistom"/>
        <w:numPr>
          <w:ilvl w:val="0"/>
          <w:numId w:val="8"/>
        </w:numPr>
        <w:tabs>
          <w:tab w:val="left" w:pos="284"/>
          <w:tab w:val="left" w:pos="1440"/>
        </w:tabs>
        <w:jc w:val="both"/>
        <w:rPr>
          <w:b/>
          <w:sz w:val="24"/>
          <w:szCs w:val="24"/>
          <w:highlight w:val="yellow"/>
          <w:u w:val="single"/>
          <w:lang w:val="sr-Cyrl-RS"/>
        </w:rPr>
      </w:pPr>
      <w:r w:rsidRPr="003A34B2">
        <w:rPr>
          <w:b/>
          <w:sz w:val="24"/>
          <w:szCs w:val="24"/>
          <w:highlight w:val="yellow"/>
          <w:u w:val="single"/>
          <w:lang w:val="sr-Cyrl-RS"/>
        </w:rPr>
        <w:t xml:space="preserve">Одговор:  </w:t>
      </w:r>
    </w:p>
    <w:p w:rsidR="00824D7A" w:rsidRPr="00824D7A" w:rsidRDefault="00824D7A" w:rsidP="00824D7A">
      <w:pPr>
        <w:tabs>
          <w:tab w:val="left" w:pos="284"/>
          <w:tab w:val="left" w:pos="1440"/>
        </w:tabs>
        <w:ind w:left="360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У понуди понуђач доставља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>банк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. гаранцију за озбиљност понуде и није у обавези да достави Писмо о намерама за издавање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>банк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>. гаранције за озбиљност понуде.</w:t>
      </w:r>
    </w:p>
    <w:p w:rsidR="00824D7A" w:rsidRPr="00824D7A" w:rsidRDefault="00824D7A" w:rsidP="00824D7A">
      <w:pPr>
        <w:pStyle w:val="Pasussalistom"/>
        <w:tabs>
          <w:tab w:val="left" w:pos="284"/>
          <w:tab w:val="left" w:pos="1440"/>
        </w:tabs>
        <w:jc w:val="both"/>
        <w:rPr>
          <w:sz w:val="24"/>
          <w:szCs w:val="24"/>
          <w:highlight w:val="yellow"/>
          <w:lang w:val="sr-Cyrl-RS"/>
        </w:rPr>
      </w:pPr>
    </w:p>
    <w:p w:rsidR="00824D7A" w:rsidRPr="00824D7A" w:rsidRDefault="00824D7A" w:rsidP="00824D7A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Што се тиче Писма о намерама за издавање банкарске гаранције за добро извршење посла и Писма о намерама за издавање банкарске гаранције за отклањање грешака у гарантном року, Наручилац није у могућности да одреди рок важења ових Писама из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>следећет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разлога:</w:t>
      </w:r>
    </w:p>
    <w:p w:rsidR="00824D7A" w:rsidRPr="00824D7A" w:rsidRDefault="00824D7A" w:rsidP="00824D7A">
      <w:pPr>
        <w:pStyle w:val="Pasussalistom"/>
        <w:tabs>
          <w:tab w:val="left" w:pos="284"/>
          <w:tab w:val="left" w:pos="1440"/>
        </w:tabs>
        <w:jc w:val="both"/>
        <w:rPr>
          <w:rFonts w:eastAsia="TimesNewRomanPSMT"/>
          <w:sz w:val="24"/>
          <w:szCs w:val="24"/>
          <w:highlight w:val="yellow"/>
          <w:lang w:val="uz-Cyrl-UZ"/>
        </w:rPr>
      </w:pPr>
      <w:r w:rsidRPr="00824D7A">
        <w:rPr>
          <w:sz w:val="24"/>
          <w:szCs w:val="24"/>
          <w:highlight w:val="yellow"/>
          <w:lang w:val="sr-Cyrl-RS"/>
        </w:rPr>
        <w:t xml:space="preserve">- банкарску гаранцију за добро извршење посла изабрани понуђач је дужан да достави </w:t>
      </w:r>
      <w:r w:rsidRPr="00824D7A">
        <w:rPr>
          <w:rFonts w:eastAsia="TimesNewRomanPSMT"/>
          <w:bCs/>
          <w:iCs/>
          <w:sz w:val="24"/>
          <w:szCs w:val="24"/>
          <w:highlight w:val="yellow"/>
          <w:lang w:val="uz-Cyrl-UZ"/>
        </w:rPr>
        <w:t>у року од 10 дана од дана закључења уговор</w:t>
      </w:r>
      <w:r w:rsidRPr="00824D7A">
        <w:rPr>
          <w:rFonts w:eastAsia="TimesNewRomanPSMT"/>
          <w:sz w:val="24"/>
          <w:szCs w:val="24"/>
          <w:highlight w:val="yellow"/>
          <w:lang w:val="uz-Cyrl-UZ"/>
        </w:rPr>
        <w:t>а. Наручилац није у могућности да предвиди дан закључења уговора, јер је неизвесно и трајање самог поступка јавне набавке (нпр. поднесе се Захтев за заштиту права који пролонгира поступак),</w:t>
      </w:r>
    </w:p>
    <w:p w:rsidR="00824D7A" w:rsidRPr="00824D7A" w:rsidRDefault="00824D7A" w:rsidP="00824D7A">
      <w:pPr>
        <w:pStyle w:val="Pasussalistom"/>
        <w:tabs>
          <w:tab w:val="left" w:pos="284"/>
          <w:tab w:val="left" w:pos="1440"/>
        </w:tabs>
        <w:jc w:val="both"/>
        <w:rPr>
          <w:rFonts w:eastAsia="TimesNewRomanPSMT"/>
          <w:bCs/>
          <w:iCs/>
          <w:sz w:val="24"/>
          <w:szCs w:val="24"/>
          <w:highlight w:val="yellow"/>
          <w:lang w:val="sr-Cyrl-RS"/>
        </w:rPr>
      </w:pPr>
      <w:r w:rsidRPr="00824D7A">
        <w:rPr>
          <w:rFonts w:eastAsia="TimesNewRomanPSMT"/>
          <w:sz w:val="24"/>
          <w:szCs w:val="24"/>
          <w:highlight w:val="yellow"/>
          <w:lang w:val="uz-Cyrl-UZ"/>
        </w:rPr>
        <w:t xml:space="preserve">- </w:t>
      </w:r>
      <w:r w:rsidRPr="00824D7A">
        <w:rPr>
          <w:sz w:val="24"/>
          <w:szCs w:val="24"/>
          <w:highlight w:val="yellow"/>
          <w:lang w:val="sr-Cyrl-RS"/>
        </w:rPr>
        <w:t xml:space="preserve">банкарску гаранцију за отклањање грешака у гарантном року изабрани понуђач је дужан да достави </w:t>
      </w:r>
      <w:r w:rsidRPr="00824D7A">
        <w:rPr>
          <w:rFonts w:eastAsia="TimesNewRomanPSMT"/>
          <w:bCs/>
          <w:iCs/>
          <w:sz w:val="24"/>
          <w:szCs w:val="24"/>
          <w:highlight w:val="yellow"/>
          <w:lang w:val="sr-Cyrl-RS"/>
        </w:rPr>
        <w:t>до истека рока важења уговора, што је такође неизвестан период.</w:t>
      </w:r>
    </w:p>
    <w:p w:rsidR="00824D7A" w:rsidRPr="00824D7A" w:rsidRDefault="00824D7A" w:rsidP="00824D7A">
      <w:pPr>
        <w:pStyle w:val="Pasussalistom"/>
        <w:tabs>
          <w:tab w:val="left" w:pos="284"/>
          <w:tab w:val="left" w:pos="1440"/>
        </w:tabs>
        <w:jc w:val="both"/>
        <w:rPr>
          <w:rFonts w:eastAsia="TimesNewRomanPSMT"/>
          <w:bCs/>
          <w:iCs/>
          <w:sz w:val="24"/>
          <w:szCs w:val="24"/>
          <w:highlight w:val="yellow"/>
          <w:lang w:val="sr-Cyrl-RS"/>
        </w:rPr>
      </w:pPr>
    </w:p>
    <w:p w:rsidR="00863C14" w:rsidRDefault="00824D7A" w:rsidP="00824D7A">
      <w:pPr>
        <w:tabs>
          <w:tab w:val="left" w:pos="284"/>
          <w:tab w:val="left" w:pos="1440"/>
        </w:tabs>
        <w:jc w:val="both"/>
        <w:rPr>
          <w:rFonts w:ascii="Times New Roman" w:eastAsia="TimesNewRomanPSMT" w:hAnsi="Times New Roman"/>
          <w:bCs/>
          <w:iCs/>
          <w:sz w:val="24"/>
          <w:szCs w:val="24"/>
          <w:highlight w:val="yellow"/>
          <w:lang w:val="sr-Cyrl-RS"/>
        </w:rPr>
      </w:pPr>
      <w:r w:rsidRPr="00824D7A">
        <w:rPr>
          <w:rFonts w:ascii="Times New Roman" w:eastAsia="TimesNewRomanPSMT" w:hAnsi="Times New Roman"/>
          <w:bCs/>
          <w:iCs/>
          <w:sz w:val="24"/>
          <w:szCs w:val="24"/>
          <w:highlight w:val="yellow"/>
          <w:lang w:val="sr-Cyrl-RS"/>
        </w:rPr>
        <w:t>Писмо о намерама није само по себи фин. средство обезбеђења као што је то банкарска гаранција. Оно представља само изјаву банке да ће средство обезбеђења бити издато, а Наручиоцу даје својеврсну информацију о кредитној и уопште финансијској способност</w:t>
      </w:r>
      <w:r w:rsidR="00863C14">
        <w:rPr>
          <w:rFonts w:ascii="Times New Roman" w:eastAsia="TimesNewRomanPSMT" w:hAnsi="Times New Roman"/>
          <w:bCs/>
          <w:iCs/>
          <w:sz w:val="24"/>
          <w:szCs w:val="24"/>
          <w:highlight w:val="yellow"/>
          <w:lang w:val="sr-Cyrl-RS"/>
        </w:rPr>
        <w:t xml:space="preserve">и изабраног понуђача да добије </w:t>
      </w:r>
      <w:r w:rsidRPr="00824D7A">
        <w:rPr>
          <w:rFonts w:ascii="Times New Roman" w:eastAsia="TimesNewRomanPSMT" w:hAnsi="Times New Roman"/>
          <w:bCs/>
          <w:iCs/>
          <w:sz w:val="24"/>
          <w:szCs w:val="24"/>
          <w:highlight w:val="yellow"/>
          <w:lang w:val="sr-Cyrl-RS"/>
        </w:rPr>
        <w:t xml:space="preserve">банкарску гаранцију. </w:t>
      </w:r>
    </w:p>
    <w:p w:rsidR="00824D7A" w:rsidRPr="00824D7A" w:rsidRDefault="00824D7A" w:rsidP="00824D7A">
      <w:pPr>
        <w:tabs>
          <w:tab w:val="left" w:pos="284"/>
          <w:tab w:val="left" w:pos="1440"/>
        </w:tabs>
        <w:jc w:val="both"/>
        <w:rPr>
          <w:rFonts w:ascii="Times New Roman" w:eastAsia="TimesNewRomanPSMT" w:hAnsi="Times New Roman"/>
          <w:sz w:val="24"/>
          <w:szCs w:val="24"/>
          <w:lang w:val="uz-Cyrl-UZ"/>
        </w:rPr>
      </w:pPr>
      <w:r w:rsidRPr="00824D7A">
        <w:rPr>
          <w:rFonts w:ascii="Times New Roman" w:eastAsia="TimesNewRomanPSMT" w:hAnsi="Times New Roman"/>
          <w:bCs/>
          <w:iCs/>
          <w:sz w:val="24"/>
          <w:szCs w:val="24"/>
          <w:highlight w:val="yellow"/>
          <w:lang w:val="sr-Cyrl-RS"/>
        </w:rPr>
        <w:lastRenderedPageBreak/>
        <w:t>Наручилац се обавезује да врати наведена писма о намерама по добијању захтеваних банкарских гаранција по захтеву изабраног понуђача.</w:t>
      </w:r>
    </w:p>
    <w:p w:rsidR="007705D4" w:rsidRPr="009A5848" w:rsidRDefault="007705D4" w:rsidP="009A5848">
      <w:pPr>
        <w:tabs>
          <w:tab w:val="left" w:pos="284"/>
          <w:tab w:val="left" w:pos="1440"/>
        </w:tabs>
        <w:jc w:val="both"/>
        <w:rPr>
          <w:b/>
          <w:sz w:val="24"/>
          <w:szCs w:val="24"/>
          <w:u w:val="single"/>
          <w:lang w:val="sr-Cyrl-RS"/>
        </w:rPr>
      </w:pPr>
    </w:p>
    <w:p w:rsidR="007705D4" w:rsidRPr="003A34B2" w:rsidRDefault="007705D4" w:rsidP="00260F60">
      <w:pPr>
        <w:pStyle w:val="Pasussalistom"/>
        <w:tabs>
          <w:tab w:val="left" w:pos="284"/>
          <w:tab w:val="left" w:pos="1440"/>
        </w:tabs>
        <w:jc w:val="both"/>
        <w:rPr>
          <w:b/>
          <w:sz w:val="24"/>
          <w:szCs w:val="24"/>
          <w:u w:val="single"/>
          <w:lang w:val="sr-Cyrl-RS"/>
        </w:rPr>
      </w:pPr>
    </w:p>
    <w:p w:rsidR="00260F60" w:rsidRPr="003A34B2" w:rsidRDefault="00260F60" w:rsidP="00260F60">
      <w:pPr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  <w:r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      5.  </w:t>
      </w:r>
      <w:r w:rsidRPr="003A34B2">
        <w:rPr>
          <w:rFonts w:ascii="Times New Roman" w:hAnsi="Times New Roman"/>
          <w:b/>
          <w:sz w:val="24"/>
          <w:szCs w:val="24"/>
          <w:u w:val="single"/>
          <w:lang w:val="sr-Cyrl-RS"/>
        </w:rPr>
        <w:t>Питање</w:t>
      </w:r>
      <w:r w:rsidRPr="003A34B2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 w:rsidRPr="003A34B2">
        <w:rPr>
          <w:rFonts w:ascii="Times New Roman" w:hAnsi="Times New Roman"/>
          <w:sz w:val="24"/>
          <w:szCs w:val="24"/>
          <w:lang w:val="sr-Latn-RS"/>
        </w:rPr>
        <w:t xml:space="preserve">У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тачки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3.13 -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Обавезна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средства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обезбеђења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испуњења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обавеза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понуђача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изабраног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понуђача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>/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добављача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подтачки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Б,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став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4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наводите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банкарске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гаранције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писма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о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намерама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смеју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садржати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додатне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услове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рокове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реализацију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. У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објашњењу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издавање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банкарских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гаранција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наводите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када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ће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бити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њихова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важност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</w:t>
      </w:r>
      <w:r w:rsidR="00863C1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863C14">
        <w:rPr>
          <w:rFonts w:ascii="Times New Roman" w:hAnsi="Times New Roman"/>
          <w:sz w:val="24"/>
          <w:szCs w:val="24"/>
          <w:lang w:val="sr-Latn-RS"/>
        </w:rPr>
        <w:t>ти</w:t>
      </w:r>
      <w:proofErr w:type="spellEnd"/>
      <w:r w:rsidR="00863C1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863C14">
        <w:rPr>
          <w:rFonts w:ascii="Times New Roman" w:hAnsi="Times New Roman"/>
          <w:sz w:val="24"/>
          <w:szCs w:val="24"/>
          <w:lang w:val="sr-Latn-RS"/>
        </w:rPr>
        <w:t>рокови</w:t>
      </w:r>
      <w:proofErr w:type="spellEnd"/>
      <w:r w:rsidR="00863C1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863C14">
        <w:rPr>
          <w:rFonts w:ascii="Times New Roman" w:hAnsi="Times New Roman"/>
          <w:sz w:val="24"/>
          <w:szCs w:val="24"/>
          <w:lang w:val="sr-Latn-RS"/>
        </w:rPr>
        <w:t>би</w:t>
      </w:r>
      <w:proofErr w:type="spellEnd"/>
      <w:r w:rsidR="00863C1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863C14">
        <w:rPr>
          <w:rFonts w:ascii="Times New Roman" w:hAnsi="Times New Roman"/>
          <w:sz w:val="24"/>
          <w:szCs w:val="24"/>
          <w:lang w:val="sr-Latn-RS"/>
        </w:rPr>
        <w:t>били</w:t>
      </w:r>
      <w:proofErr w:type="spellEnd"/>
      <w:r w:rsidR="00863C1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863C14">
        <w:rPr>
          <w:rFonts w:ascii="Times New Roman" w:hAnsi="Times New Roman"/>
          <w:sz w:val="24"/>
          <w:szCs w:val="24"/>
          <w:lang w:val="sr-Latn-RS"/>
        </w:rPr>
        <w:t>наведени</w:t>
      </w:r>
      <w:proofErr w:type="spellEnd"/>
      <w:r w:rsidR="00863C14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863C14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="00863C14">
        <w:rPr>
          <w:rFonts w:ascii="Times New Roman" w:hAnsi="Times New Roman"/>
          <w:sz w:val="24"/>
          <w:szCs w:val="24"/>
          <w:lang w:val="sr-Latn-RS"/>
        </w:rPr>
        <w:t> 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банкарским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гаранцијама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када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буду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били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издати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добро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извршење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посла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30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дана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дуже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уговореног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рока</w:t>
      </w:r>
      <w:proofErr w:type="spellEnd"/>
      <w:r w:rsidRPr="003A34B2">
        <w:rPr>
          <w:rFonts w:ascii="Times New Roman" w:hAnsi="Times New Roman"/>
          <w:sz w:val="24"/>
          <w:szCs w:val="24"/>
          <w:lang w:val="sr-Cyrl-RS"/>
        </w:rPr>
        <w:t xml:space="preserve"> извршења</w:t>
      </w:r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банкарску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гаранцију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отклањање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гре</w:t>
      </w:r>
      <w:proofErr w:type="spellEnd"/>
      <w:r w:rsidRPr="003A34B2">
        <w:rPr>
          <w:rFonts w:ascii="Times New Roman" w:hAnsi="Times New Roman"/>
          <w:sz w:val="24"/>
          <w:szCs w:val="24"/>
          <w:lang w:val="sr-Cyrl-RS"/>
        </w:rPr>
        <w:t>ш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ака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гарантном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30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дана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дуже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од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гарантног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.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Ови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рокови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били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тачно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утврђени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према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уговору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и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био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јасно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назначен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датум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гаранција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пошто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то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услов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 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банке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издавање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гаранције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.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може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с</w:t>
      </w:r>
      <w:r w:rsidRPr="003A34B2">
        <w:rPr>
          <w:rFonts w:ascii="Times New Roman" w:hAnsi="Times New Roman"/>
          <w:sz w:val="24"/>
          <w:szCs w:val="24"/>
          <w:lang w:val="sr-Cyrl-RS"/>
        </w:rPr>
        <w:t>т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ајати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описни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гаранције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>.</w:t>
      </w:r>
    </w:p>
    <w:p w:rsidR="0010795C" w:rsidRPr="003A34B2" w:rsidRDefault="00260F60" w:rsidP="00260F60">
      <w:pPr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Молимо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појашњење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које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3A34B2">
        <w:rPr>
          <w:rFonts w:ascii="Times New Roman" w:hAnsi="Times New Roman"/>
          <w:sz w:val="24"/>
          <w:szCs w:val="24"/>
          <w:lang w:val="sr-Cyrl-RS"/>
        </w:rPr>
        <w:t xml:space="preserve">додатне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рокове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за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реализацију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мисли</w:t>
      </w:r>
      <w:proofErr w:type="spellEnd"/>
      <w:r w:rsidRPr="003A34B2">
        <w:rPr>
          <w:rFonts w:ascii="Times New Roman" w:hAnsi="Times New Roman"/>
          <w:sz w:val="24"/>
          <w:szCs w:val="24"/>
          <w:lang w:val="sr-Cyrl-RS"/>
        </w:rPr>
        <w:t>те</w:t>
      </w:r>
      <w:r w:rsidRPr="003A34B2">
        <w:rPr>
          <w:rFonts w:ascii="Times New Roman" w:hAnsi="Times New Roman"/>
          <w:sz w:val="24"/>
          <w:szCs w:val="24"/>
          <w:lang w:val="sr-Latn-RS"/>
        </w:rPr>
        <w:t xml:space="preserve">,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обзиром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обаве</w:t>
      </w:r>
      <w:proofErr w:type="spellEnd"/>
      <w:r w:rsidRPr="003A34B2">
        <w:rPr>
          <w:rFonts w:ascii="Times New Roman" w:hAnsi="Times New Roman"/>
          <w:sz w:val="24"/>
          <w:szCs w:val="24"/>
          <w:lang w:val="sr-Cyrl-RS"/>
        </w:rPr>
        <w:t>з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но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банк</w:t>
      </w:r>
      <w:proofErr w:type="spellEnd"/>
      <w:r w:rsidRPr="003A34B2">
        <w:rPr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рска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гаранција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садржи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крајњи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рок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hAnsi="Times New Roman"/>
          <w:sz w:val="24"/>
          <w:szCs w:val="24"/>
          <w:lang w:val="sr-Latn-RS"/>
        </w:rPr>
        <w:t>важења</w:t>
      </w:r>
      <w:proofErr w:type="spellEnd"/>
      <w:r w:rsidRPr="003A34B2">
        <w:rPr>
          <w:rFonts w:ascii="Times New Roman" w:hAnsi="Times New Roman"/>
          <w:sz w:val="24"/>
          <w:szCs w:val="24"/>
          <w:lang w:val="sr-Latn-RS"/>
        </w:rPr>
        <w:t>.</w:t>
      </w:r>
    </w:p>
    <w:p w:rsidR="00260F60" w:rsidRPr="003A34B2" w:rsidRDefault="007705D4" w:rsidP="00260F60">
      <w:pPr>
        <w:pStyle w:val="Pasussalistom"/>
        <w:numPr>
          <w:ilvl w:val="0"/>
          <w:numId w:val="8"/>
        </w:numPr>
        <w:tabs>
          <w:tab w:val="left" w:pos="284"/>
          <w:tab w:val="left" w:pos="1440"/>
        </w:tabs>
        <w:jc w:val="both"/>
        <w:rPr>
          <w:b/>
          <w:sz w:val="24"/>
          <w:szCs w:val="24"/>
          <w:highlight w:val="yellow"/>
          <w:u w:val="single"/>
          <w:lang w:val="sr-Cyrl-RS"/>
        </w:rPr>
      </w:pPr>
      <w:r w:rsidRPr="003A34B2">
        <w:rPr>
          <w:b/>
          <w:sz w:val="24"/>
          <w:szCs w:val="24"/>
          <w:highlight w:val="yellow"/>
          <w:u w:val="single"/>
          <w:lang w:val="sr-Cyrl-RS"/>
        </w:rPr>
        <w:t xml:space="preserve">Одговор: </w:t>
      </w:r>
    </w:p>
    <w:p w:rsidR="00A5343D" w:rsidRPr="003A34B2" w:rsidRDefault="00A5343D" w:rsidP="00A5343D">
      <w:pPr>
        <w:tabs>
          <w:tab w:val="left" w:pos="284"/>
          <w:tab w:val="left" w:pos="1440"/>
        </w:tabs>
        <w:jc w:val="both"/>
        <w:rPr>
          <w:rFonts w:ascii="Times New Roman" w:hAnsi="Times New Roman"/>
          <w:b/>
          <w:sz w:val="24"/>
          <w:szCs w:val="24"/>
          <w:highlight w:val="yellow"/>
          <w:lang w:val="sr-Cyrl-RS"/>
        </w:rPr>
      </w:pPr>
    </w:p>
    <w:p w:rsidR="00824D7A" w:rsidRPr="00246DC7" w:rsidRDefault="00824D7A" w:rsidP="00824D7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Наручилац није навео описни рок важења гаранције већ прецизно наводи трајање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>банк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. гаранција и то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за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добро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извршење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посла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30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дана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дуже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од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уговореног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рока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извршења, а за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банкарску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гаранцију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за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отклањање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гре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>ш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ака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у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гарантном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року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30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дана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дуже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од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гарантног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Latn-RS"/>
        </w:rPr>
        <w:t>рока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. </w:t>
      </w:r>
      <w:r w:rsidR="00863C14">
        <w:rPr>
          <w:rFonts w:ascii="Times New Roman" w:hAnsi="Times New Roman"/>
          <w:sz w:val="24"/>
          <w:szCs w:val="24"/>
          <w:highlight w:val="yellow"/>
          <w:lang w:val="sr-Latn-RS"/>
        </w:rPr>
        <w:t>T</w:t>
      </w:r>
      <w:proofErr w:type="spellStart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>ачан</w:t>
      </w:r>
      <w:proofErr w:type="spellEnd"/>
      <w:r w:rsidRPr="00824D7A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датум њиховог важења ће бити одређен када буде известан дан закључења уговора.</w:t>
      </w:r>
      <w:r w:rsidRPr="00246DC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C5C1F" w:rsidRPr="009A5848" w:rsidRDefault="009A5848" w:rsidP="00A5343D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ab/>
      </w:r>
      <w:r w:rsidRPr="009A5848">
        <w:rPr>
          <w:rFonts w:ascii="Times New Roman" w:hAnsi="Times New Roman"/>
          <w:sz w:val="24"/>
          <w:szCs w:val="24"/>
          <w:highlight w:val="yellow"/>
          <w:lang w:val="sr-Latn-RS"/>
        </w:rPr>
        <w:t xml:space="preserve">      </w:t>
      </w:r>
      <w:r w:rsidRPr="009A5848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Банкарска гаранција не сме да садржи никакве додатне рокове за реализацију. </w:t>
      </w:r>
    </w:p>
    <w:p w:rsidR="00286AF7" w:rsidRPr="003A34B2" w:rsidRDefault="00A5343D" w:rsidP="00AD4A63">
      <w:pPr>
        <w:pStyle w:val="Pasussalistom"/>
        <w:numPr>
          <w:ilvl w:val="0"/>
          <w:numId w:val="8"/>
        </w:numPr>
        <w:jc w:val="both"/>
        <w:rPr>
          <w:rFonts w:eastAsiaTheme="minorHAnsi"/>
          <w:sz w:val="24"/>
          <w:szCs w:val="24"/>
          <w:lang w:val="sr-Cyrl-RS"/>
        </w:rPr>
      </w:pPr>
      <w:r w:rsidRPr="003A34B2">
        <w:rPr>
          <w:b/>
          <w:sz w:val="24"/>
          <w:szCs w:val="24"/>
          <w:lang w:val="sr-Cyrl-RS"/>
        </w:rPr>
        <w:t>Питање:</w:t>
      </w:r>
      <w:r w:rsidRPr="003A34B2">
        <w:rPr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На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основу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провере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техничког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захтева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из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Ваше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конкурсне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докуметације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r w:rsidR="00286AF7" w:rsidRPr="003A34B2">
        <w:rPr>
          <w:rFonts w:eastAsiaTheme="minorHAnsi"/>
          <w:sz w:val="24"/>
          <w:szCs w:val="24"/>
          <w:lang w:val="sr-Cyrl-RS"/>
        </w:rPr>
        <w:t xml:space="preserve">        </w:t>
      </w:r>
    </w:p>
    <w:p w:rsidR="00A5343D" w:rsidRPr="003A34B2" w:rsidRDefault="00A5343D" w:rsidP="00AD4A63">
      <w:pPr>
        <w:pStyle w:val="Pasussalistom"/>
        <w:jc w:val="both"/>
        <w:rPr>
          <w:rFonts w:eastAsiaTheme="minorHAnsi"/>
          <w:sz w:val="24"/>
          <w:szCs w:val="24"/>
        </w:rPr>
      </w:pPr>
      <w:proofErr w:type="spellStart"/>
      <w:proofErr w:type="gramStart"/>
      <w:r w:rsidRPr="003A34B2">
        <w:rPr>
          <w:rFonts w:eastAsiaTheme="minorHAnsi"/>
          <w:sz w:val="24"/>
          <w:szCs w:val="24"/>
        </w:rPr>
        <w:t>утврдили</w:t>
      </w:r>
      <w:proofErr w:type="spellEnd"/>
      <w:proofErr w:type="gram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смо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да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само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један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произвођач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опреме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може</w:t>
      </w:r>
      <w:proofErr w:type="spellEnd"/>
      <w:r w:rsidRPr="003A34B2">
        <w:rPr>
          <w:rFonts w:eastAsiaTheme="minorHAnsi"/>
          <w:sz w:val="24"/>
          <w:szCs w:val="24"/>
        </w:rPr>
        <w:t xml:space="preserve"> у </w:t>
      </w:r>
      <w:proofErr w:type="spellStart"/>
      <w:r w:rsidRPr="003A34B2">
        <w:rPr>
          <w:rFonts w:eastAsiaTheme="minorHAnsi"/>
          <w:sz w:val="24"/>
          <w:szCs w:val="24"/>
        </w:rPr>
        <w:t>потпуности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да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одговори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на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Ваш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технички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захтев</w:t>
      </w:r>
      <w:proofErr w:type="spellEnd"/>
      <w:r w:rsidRPr="003A34B2">
        <w:rPr>
          <w:rFonts w:eastAsiaTheme="minorHAnsi"/>
          <w:sz w:val="24"/>
          <w:szCs w:val="24"/>
        </w:rPr>
        <w:t xml:space="preserve">, </w:t>
      </w:r>
      <w:proofErr w:type="spellStart"/>
      <w:r w:rsidRPr="003A34B2">
        <w:rPr>
          <w:rFonts w:eastAsiaTheme="minorHAnsi"/>
          <w:sz w:val="24"/>
          <w:szCs w:val="24"/>
        </w:rPr>
        <w:t>наиме</w:t>
      </w:r>
      <w:proofErr w:type="spellEnd"/>
      <w:r w:rsidRPr="003A34B2">
        <w:rPr>
          <w:rFonts w:eastAsiaTheme="minorHAnsi"/>
          <w:sz w:val="24"/>
          <w:szCs w:val="24"/>
        </w:rPr>
        <w:t>:</w:t>
      </w:r>
    </w:p>
    <w:p w:rsidR="00A5343D" w:rsidRPr="003A34B2" w:rsidRDefault="00A5343D" w:rsidP="00AD4A63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A34B2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произвођачи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HP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Aruba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могу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одговоре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техничке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захтеве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r w:rsidR="0054777F" w:rsidRPr="003A34B2">
        <w:rPr>
          <w:rFonts w:ascii="Times New Roman" w:eastAsiaTheme="minorHAnsi" w:hAnsi="Times New Roman"/>
          <w:sz w:val="24"/>
          <w:szCs w:val="24"/>
        </w:rPr>
        <w:t>у</w:t>
      </w:r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вези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wirleless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контолорима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из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Вашег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захтева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поглавље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табеле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под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називом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“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Подршка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Wifi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IEEE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стандард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фреквенцијске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опсеге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”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страна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49 </w:t>
      </w:r>
      <w:r w:rsidR="0054777F" w:rsidRPr="003A34B2">
        <w:rPr>
          <w:rFonts w:ascii="Times New Roman" w:eastAsiaTheme="minorHAnsi" w:hAnsi="Times New Roman"/>
          <w:sz w:val="24"/>
          <w:szCs w:val="24"/>
        </w:rPr>
        <w:t>и</w:t>
      </w:r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страна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52 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конкурсне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документације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);</w:t>
      </w:r>
    </w:p>
    <w:p w:rsidR="00A5343D" w:rsidRPr="003A34B2" w:rsidRDefault="00A5343D" w:rsidP="003C1F0A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A5343D" w:rsidRPr="003A34B2" w:rsidRDefault="00A5343D" w:rsidP="003C1F0A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A34B2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proofErr w:type="gramStart"/>
      <w:r w:rsidR="0054777F" w:rsidRPr="003A34B2">
        <w:rPr>
          <w:rFonts w:ascii="Times New Roman" w:eastAsiaTheme="minorHAnsi" w:hAnsi="Times New Roman"/>
          <w:sz w:val="24"/>
          <w:szCs w:val="24"/>
        </w:rPr>
        <w:t>произвођач</w:t>
      </w:r>
      <w:proofErr w:type="spellEnd"/>
      <w:proofErr w:type="gramEnd"/>
      <w:r w:rsidRPr="003A34B2">
        <w:rPr>
          <w:rFonts w:ascii="Times New Roman" w:eastAsiaTheme="minorHAnsi" w:hAnsi="Times New Roman"/>
          <w:sz w:val="24"/>
          <w:szCs w:val="24"/>
        </w:rPr>
        <w:t xml:space="preserve"> Huawei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може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одговори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Ваш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захтева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r w:rsidR="0054777F" w:rsidRPr="003A34B2">
        <w:rPr>
          <w:rFonts w:ascii="Times New Roman" w:eastAsiaTheme="minorHAnsi" w:hAnsi="Times New Roman"/>
          <w:sz w:val="24"/>
          <w:szCs w:val="24"/>
        </w:rPr>
        <w:t>у</w:t>
      </w:r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вези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хардеверским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r w:rsidR="0054777F" w:rsidRPr="003A34B2">
        <w:rPr>
          <w:rFonts w:ascii="Times New Roman" w:eastAsiaTheme="minorHAnsi" w:hAnsi="Times New Roman"/>
          <w:sz w:val="24"/>
          <w:szCs w:val="24"/>
        </w:rPr>
        <w:t>и</w:t>
      </w:r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софтверским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упрграде</w:t>
      </w:r>
      <w:r w:rsidRPr="003A34B2">
        <w:rPr>
          <w:rFonts w:ascii="Times New Roman" w:eastAsiaTheme="minorHAnsi" w:hAnsi="Times New Roman"/>
          <w:sz w:val="24"/>
          <w:szCs w:val="24"/>
        </w:rPr>
        <w:t>-</w:t>
      </w:r>
      <w:r w:rsidR="0054777F" w:rsidRPr="003A34B2">
        <w:rPr>
          <w:rFonts w:ascii="Times New Roman" w:eastAsiaTheme="minorHAnsi" w:hAnsi="Times New Roman"/>
          <w:sz w:val="24"/>
          <w:szCs w:val="24"/>
        </w:rPr>
        <w:t>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поглавље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табеле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под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називом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“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истовремено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асоцираних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бежичних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тачака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приступа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након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проширења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система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”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страна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47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редни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4.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конкурсне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документације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>);</w:t>
      </w:r>
    </w:p>
    <w:p w:rsidR="00A5343D" w:rsidRPr="003A34B2" w:rsidRDefault="00A5343D" w:rsidP="003C1F0A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A5343D" w:rsidRPr="003A34B2" w:rsidRDefault="00A5343D" w:rsidP="003C1F0A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A34B2"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="0054777F" w:rsidRPr="003A34B2">
        <w:rPr>
          <w:rFonts w:ascii="Times New Roman" w:eastAsiaTheme="minorHAnsi" w:hAnsi="Times New Roman"/>
          <w:sz w:val="24"/>
          <w:szCs w:val="24"/>
        </w:rPr>
        <w:t>произвођач</w:t>
      </w:r>
      <w:proofErr w:type="spellEnd"/>
      <w:proofErr w:type="gramEnd"/>
      <w:r w:rsidRPr="003A34B2">
        <w:rPr>
          <w:rFonts w:ascii="Times New Roman" w:eastAsiaTheme="minorHAnsi" w:hAnsi="Times New Roman"/>
          <w:sz w:val="24"/>
          <w:szCs w:val="24"/>
        </w:rPr>
        <w:t xml:space="preserve"> Huawei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може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одговори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захтев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од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минимално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400WLAN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клијената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бежичној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тачки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приступа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поглавље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табеле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под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називом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“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асоцираних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WLAN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клијената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”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страна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52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конкурсне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документације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>);</w:t>
      </w:r>
    </w:p>
    <w:p w:rsidR="00A5343D" w:rsidRPr="003A34B2" w:rsidRDefault="00A5343D" w:rsidP="00A5343D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A5343D" w:rsidRPr="003A34B2" w:rsidRDefault="00A5343D" w:rsidP="003C1F0A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3A34B2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proofErr w:type="gramStart"/>
      <w:r w:rsidR="0054777F" w:rsidRPr="003A34B2">
        <w:rPr>
          <w:rFonts w:ascii="Times New Roman" w:eastAsiaTheme="minorHAnsi" w:hAnsi="Times New Roman"/>
          <w:sz w:val="24"/>
          <w:szCs w:val="24"/>
        </w:rPr>
        <w:t>произвођач</w:t>
      </w:r>
      <w:proofErr w:type="spellEnd"/>
      <w:proofErr w:type="gramEnd"/>
      <w:r w:rsidRPr="003A34B2">
        <w:rPr>
          <w:rFonts w:ascii="Times New Roman" w:eastAsiaTheme="minorHAnsi" w:hAnsi="Times New Roman"/>
          <w:sz w:val="24"/>
          <w:szCs w:val="24"/>
        </w:rPr>
        <w:t xml:space="preserve"> HP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i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Huawei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могу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одговоре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Ваш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технички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захтев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односи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портове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поглавље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табеле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под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називом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“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Портови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”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страна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51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конкурсне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54777F" w:rsidRPr="003A34B2">
        <w:rPr>
          <w:rFonts w:ascii="Times New Roman" w:eastAsiaTheme="minorHAnsi" w:hAnsi="Times New Roman"/>
          <w:sz w:val="24"/>
          <w:szCs w:val="24"/>
        </w:rPr>
        <w:t>документације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>)</w:t>
      </w:r>
    </w:p>
    <w:p w:rsidR="00A5343D" w:rsidRPr="003A34B2" w:rsidRDefault="00A5343D" w:rsidP="00A5343D">
      <w:pPr>
        <w:ind w:left="502"/>
        <w:contextualSpacing/>
        <w:rPr>
          <w:rFonts w:ascii="Times New Roman" w:eastAsiaTheme="minorHAnsi" w:hAnsi="Times New Roman"/>
          <w:sz w:val="24"/>
          <w:szCs w:val="24"/>
        </w:rPr>
      </w:pPr>
    </w:p>
    <w:p w:rsidR="00A5343D" w:rsidRPr="003A34B2" w:rsidRDefault="0054777F" w:rsidP="003C1F0A">
      <w:pPr>
        <w:ind w:left="502"/>
        <w:contextualSpacing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Како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начело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обезбеђивања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конкуренције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</w:rPr>
        <w:t>у</w:t>
      </w:r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члану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10.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</w:rPr>
        <w:t>о</w:t>
      </w:r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јавним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набавкама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предвиђа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обавезу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Наручиоца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омогући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што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већу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конкуренцију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понуђача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мишљења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смо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потребно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изменити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технички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део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конкурсне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документације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</w:rPr>
        <w:t>у</w:t>
      </w:r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циљу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учествовања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већег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броја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понуђача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односно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већег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броја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произвођача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опреме</w:t>
      </w:r>
      <w:proofErr w:type="spellEnd"/>
      <w:r w:rsidR="00A5343D" w:rsidRPr="003A34B2">
        <w:rPr>
          <w:rFonts w:ascii="Times New Roman" w:eastAsiaTheme="minorHAnsi" w:hAnsi="Times New Roman"/>
          <w:sz w:val="24"/>
          <w:szCs w:val="24"/>
        </w:rPr>
        <w:t>.</w:t>
      </w:r>
    </w:p>
    <w:p w:rsidR="00A5343D" w:rsidRPr="003A34B2" w:rsidRDefault="00A5343D" w:rsidP="00A5343D">
      <w:pPr>
        <w:ind w:left="502"/>
        <w:contextualSpacing/>
        <w:rPr>
          <w:rFonts w:ascii="Times New Roman" w:eastAsiaTheme="minorHAnsi" w:hAnsi="Times New Roman"/>
          <w:sz w:val="24"/>
          <w:szCs w:val="24"/>
        </w:rPr>
      </w:pPr>
    </w:p>
    <w:p w:rsidR="00A5343D" w:rsidRPr="003A34B2" w:rsidRDefault="00BD5490" w:rsidP="00286AF7">
      <w:pPr>
        <w:pStyle w:val="Pasussalistom"/>
        <w:numPr>
          <w:ilvl w:val="0"/>
          <w:numId w:val="9"/>
        </w:numPr>
        <w:tabs>
          <w:tab w:val="left" w:pos="284"/>
          <w:tab w:val="left" w:pos="1440"/>
        </w:tabs>
        <w:jc w:val="both"/>
        <w:rPr>
          <w:b/>
          <w:sz w:val="24"/>
          <w:szCs w:val="24"/>
          <w:highlight w:val="yellow"/>
          <w:u w:val="single"/>
          <w:lang w:val="sr-Cyrl-RS"/>
        </w:rPr>
      </w:pPr>
      <w:r w:rsidRPr="003A34B2">
        <w:rPr>
          <w:b/>
          <w:sz w:val="24"/>
          <w:szCs w:val="24"/>
          <w:highlight w:val="yellow"/>
          <w:u w:val="single"/>
          <w:lang w:val="sr-Cyrl-RS"/>
        </w:rPr>
        <w:t xml:space="preserve">Одговор: </w:t>
      </w:r>
    </w:p>
    <w:p w:rsidR="00BD5490" w:rsidRPr="003A34B2" w:rsidRDefault="00BD5490" w:rsidP="00BD5490">
      <w:pPr>
        <w:tabs>
          <w:tab w:val="left" w:pos="284"/>
          <w:tab w:val="left" w:pos="144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sr-Cyrl-RS"/>
        </w:rPr>
      </w:pPr>
    </w:p>
    <w:p w:rsidR="00200847" w:rsidRPr="00796BED" w:rsidRDefault="00200847" w:rsidP="00863C14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Конкурсна документација и техничке спецификације су припремљене у складу са објективним потребама наручиоца с једне стране, а са друге стране истима </w:t>
      </w:r>
      <w:r w:rsidR="001B5A96"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је </w:t>
      </w: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обезбеђена конкуренција имајући у виду да већи број произвођача, а тиме и понуђача могу да понуде предмет ове јавне набавке, те с тим у вези указујемо следеће:</w:t>
      </w:r>
    </w:p>
    <w:p w:rsidR="00200847" w:rsidRPr="00796BED" w:rsidRDefault="00200847" w:rsidP="00863C14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а)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Пoтрeбa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трaжeним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фрeквeнциjским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oпсeзимa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прoизилaзи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из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зaхтeвa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дa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буду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пoдржaни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802.11 a/b/g/n/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ac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стaндaрди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.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Oвe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стaндaрдe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, на пример,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пoдржaвajу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слeдeћи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кoнтрoлeри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:</w:t>
      </w:r>
    </w:p>
    <w:p w:rsidR="00200847" w:rsidRPr="00796BED" w:rsidRDefault="00200847" w:rsidP="00863C14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1.</w:t>
      </w: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ab/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Aruba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7240 (http://www.securewirelessworks.com/Aruba-7200.asp)</w:t>
      </w:r>
    </w:p>
    <w:p w:rsidR="00200847" w:rsidRPr="00796BED" w:rsidRDefault="00200847" w:rsidP="00863C14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2.</w:t>
      </w: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ab/>
        <w:t>CISCO 8540 (http://www.cisco.com/c/en/us/products/collateral/wireless/8540-wireless-controller/datasheet-c78-734258.html)</w:t>
      </w:r>
    </w:p>
    <w:p w:rsidR="00200847" w:rsidRPr="00796BED" w:rsidRDefault="00200847" w:rsidP="00863C14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3.</w:t>
      </w: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ab/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Alcatel-Lucent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OAW-4750  (http://enterprise.alcatel-lucent.com/assets/documents/omniaccess_4x50_controller_Datasheet_EN.pdf)</w:t>
      </w:r>
    </w:p>
    <w:p w:rsidR="00200847" w:rsidRPr="00796BED" w:rsidRDefault="00200847" w:rsidP="00863C14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Истo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вaжи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и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бeжичнe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приступнe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тaчкe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oвих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прoизвoђaчa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видeти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линкoвe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кoд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oдгoвaрa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под в).</w:t>
      </w:r>
    </w:p>
    <w:p w:rsidR="00200847" w:rsidRPr="00796BED" w:rsidRDefault="00200847" w:rsidP="00863C14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б) С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oбзирoм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дa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сe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тeхничким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зaхтeвимa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трaжи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систeм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, a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нe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сaмo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jeдaн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кoнтрoлeр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,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трaжeни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зaхтeв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мoжe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бити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испуњeн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пoвeзивaњeм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вишe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кoнтрoлeрa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</w:t>
      </w:r>
      <w:r w:rsidR="001B5A96"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на пример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stacking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).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Имajући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у виду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трaжeни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зaхтeв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мoгу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зaдoвoљити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сви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прeтхoднo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прeтхoднo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пoмeнути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кoнтрoлeри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: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Aruba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7240, CISCO 8540,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Acaltel-Lucent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OAW-4750.</w:t>
      </w:r>
    </w:p>
    <w:p w:rsidR="00200847" w:rsidRPr="00796BED" w:rsidRDefault="00200847" w:rsidP="00863C14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lastRenderedPageBreak/>
        <w:t xml:space="preserve">в)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Teхнички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зaхтeв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минимaлнo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400 WLAN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клиjeнaтa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прoистичe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из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зaхтeвa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дa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пoстojи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пoдршкa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oд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минимaлнo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200 WLAN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клиjeнaтa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рaдиjу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.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Имajући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у виду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дa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вeћинa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бeжичних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тaчки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приступa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a</w:t>
      </w:r>
      <w:r w:rsidR="001B5A96"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cc</w:t>
      </w: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e</w:t>
      </w:r>
      <w:r w:rsidR="001B5A96"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ss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="001B5A96"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p</w:t>
      </w: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</w:t>
      </w:r>
      <w:r w:rsidR="001B5A96"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int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)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пoдржaвajу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двa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фрeквeнциjскa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oпсeгa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,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oндa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je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oвaj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зaхтeв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лaкo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испунив.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Нa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примeр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слeдeћи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мoдeли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испуњaвajу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трaжeнe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зaхтeв</w:t>
      </w:r>
      <w:r w:rsidR="001B5A96"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e</w:t>
      </w:r>
      <w:proofErr w:type="spellEnd"/>
      <w:r w:rsidR="001B5A96"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:</w:t>
      </w:r>
    </w:p>
    <w:p w:rsidR="001B5A96" w:rsidRPr="00796BED" w:rsidRDefault="00200847" w:rsidP="00200847">
      <w:pPr>
        <w:tabs>
          <w:tab w:val="left" w:pos="284"/>
          <w:tab w:val="left" w:pos="1440"/>
        </w:tabs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1.</w:t>
      </w: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ab/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Aruba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AP 325 i 324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пoдржaвa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255 WLAN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клиjeнaтa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рaдиjу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(http://www.arubanetworks.com/products/networking/access-points/aruba-320-series/)</w:t>
      </w:r>
    </w:p>
    <w:p w:rsidR="00200847" w:rsidRPr="00796BED" w:rsidRDefault="00200847" w:rsidP="00200847">
      <w:pPr>
        <w:tabs>
          <w:tab w:val="left" w:pos="284"/>
          <w:tab w:val="left" w:pos="1440"/>
        </w:tabs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2.</w:t>
      </w: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ab/>
        <w:t xml:space="preserve">CISCO AP 2700 i 3700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пoдржaвa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200 WLAN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клиjeнaтa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рaдиjу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(http://www.cisco.com/c/en/us/td/docs/wireless/technology/apdeploy/8-0/Cisco_Aironet_3700AP.html)</w:t>
      </w:r>
    </w:p>
    <w:p w:rsidR="00200847" w:rsidRPr="00796BED" w:rsidRDefault="00200847" w:rsidP="00200847">
      <w:pPr>
        <w:tabs>
          <w:tab w:val="left" w:pos="284"/>
          <w:tab w:val="left" w:pos="1440"/>
        </w:tabs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3.</w:t>
      </w: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ab/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Alcaltel-Lucent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AP 320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пoдржaвa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255 WLAN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клиjeнaтa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рaдиjу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</w:t>
      </w:r>
      <w:hyperlink r:id="rId9" w:history="1">
        <w:r w:rsidR="001B5A96" w:rsidRPr="00796BED">
          <w:rPr>
            <w:rStyle w:val="Hiperveza"/>
            <w:rFonts w:ascii="Times New Roman" w:hAnsi="Times New Roman"/>
            <w:sz w:val="24"/>
            <w:szCs w:val="24"/>
            <w:highlight w:val="yellow"/>
            <w:lang w:val="sr-Cyrl-RS"/>
          </w:rPr>
          <w:t>http://enterprise.alcatel-lucent.com/assets/documents/OmniAccess%20AP320%20Series%20Access%20Points_datasheet_EN.pdf</w:t>
        </w:r>
      </w:hyperlink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)</w:t>
      </w:r>
    </w:p>
    <w:p w:rsidR="001B5A96" w:rsidRPr="00796BED" w:rsidRDefault="001B5A96" w:rsidP="00200847">
      <w:pPr>
        <w:tabs>
          <w:tab w:val="left" w:pos="284"/>
          <w:tab w:val="left" w:pos="1440"/>
        </w:tabs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г) Сви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прeтхoднo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нaбрojaни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кoнтрoлeри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видeти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oдгoвoр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a) и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нaбрojaни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мoдeли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бeжичних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тaчaкa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приступa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(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видeти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oдгoвoр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в)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испуњaвajу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трaжeнe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зaхтeвe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питaњу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  <w:proofErr w:type="spellStart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пoртoвa</w:t>
      </w:r>
      <w:proofErr w:type="spellEnd"/>
      <w:r w:rsidRPr="00796BED">
        <w:rPr>
          <w:rFonts w:ascii="Times New Roman" w:hAnsi="Times New Roman"/>
          <w:sz w:val="24"/>
          <w:szCs w:val="24"/>
          <w:highlight w:val="yellow"/>
          <w:lang w:val="sr-Cyrl-RS"/>
        </w:rPr>
        <w:t>.</w:t>
      </w:r>
    </w:p>
    <w:p w:rsidR="00BD5490" w:rsidRPr="003A34B2" w:rsidRDefault="00BD5490" w:rsidP="00BD5490">
      <w:pPr>
        <w:tabs>
          <w:tab w:val="left" w:pos="284"/>
          <w:tab w:val="left" w:pos="144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sr-Cyrl-RS"/>
        </w:rPr>
      </w:pPr>
    </w:p>
    <w:p w:rsidR="00BD5490" w:rsidRPr="003A34B2" w:rsidRDefault="00BD5490" w:rsidP="00AD4A63">
      <w:pPr>
        <w:pStyle w:val="Pasussalistom"/>
        <w:numPr>
          <w:ilvl w:val="0"/>
          <w:numId w:val="9"/>
        </w:numPr>
        <w:jc w:val="both"/>
        <w:rPr>
          <w:rFonts w:eastAsiaTheme="minorHAnsi"/>
          <w:sz w:val="24"/>
          <w:szCs w:val="24"/>
        </w:rPr>
      </w:pPr>
      <w:r w:rsidRPr="003A34B2">
        <w:rPr>
          <w:b/>
          <w:sz w:val="24"/>
          <w:szCs w:val="24"/>
          <w:u w:val="single"/>
          <w:lang w:val="sr-Cyrl-RS"/>
        </w:rPr>
        <w:t xml:space="preserve">Питање: </w:t>
      </w:r>
      <w:proofErr w:type="spellStart"/>
      <w:r w:rsidRPr="003A34B2">
        <w:rPr>
          <w:rFonts w:eastAsiaTheme="minorHAnsi"/>
          <w:sz w:val="24"/>
          <w:szCs w:val="24"/>
        </w:rPr>
        <w:t>На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страни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број</w:t>
      </w:r>
      <w:proofErr w:type="spellEnd"/>
      <w:r w:rsidRPr="003A34B2">
        <w:rPr>
          <w:rFonts w:eastAsiaTheme="minorHAnsi"/>
          <w:sz w:val="24"/>
          <w:szCs w:val="24"/>
        </w:rPr>
        <w:t xml:space="preserve"> 36 </w:t>
      </w:r>
      <w:proofErr w:type="spellStart"/>
      <w:r w:rsidRPr="003A34B2">
        <w:rPr>
          <w:rFonts w:eastAsiaTheme="minorHAnsi"/>
          <w:sz w:val="24"/>
          <w:szCs w:val="24"/>
        </w:rPr>
        <w:t>конкурсне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документације</w:t>
      </w:r>
      <w:proofErr w:type="spellEnd"/>
      <w:r w:rsidRPr="003A34B2">
        <w:rPr>
          <w:rFonts w:eastAsiaTheme="minorHAnsi"/>
          <w:sz w:val="24"/>
          <w:szCs w:val="24"/>
        </w:rPr>
        <w:t xml:space="preserve">, </w:t>
      </w:r>
      <w:proofErr w:type="spellStart"/>
      <w:r w:rsidRPr="003A34B2">
        <w:rPr>
          <w:rFonts w:eastAsiaTheme="minorHAnsi"/>
          <w:sz w:val="24"/>
          <w:szCs w:val="24"/>
        </w:rPr>
        <w:t>наводите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да</w:t>
      </w:r>
      <w:proofErr w:type="spellEnd"/>
      <w:r w:rsidRPr="003A34B2">
        <w:rPr>
          <w:rFonts w:eastAsiaTheme="minorHAnsi"/>
          <w:sz w:val="24"/>
          <w:szCs w:val="24"/>
        </w:rPr>
        <w:t xml:space="preserve">  </w:t>
      </w:r>
      <w:proofErr w:type="spellStart"/>
      <w:r w:rsidRPr="003A34B2">
        <w:rPr>
          <w:rFonts w:eastAsiaTheme="minorHAnsi"/>
          <w:sz w:val="24"/>
          <w:szCs w:val="24"/>
        </w:rPr>
        <w:t>је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потребно</w:t>
      </w:r>
      <w:proofErr w:type="spellEnd"/>
      <w:r w:rsidRPr="003A34B2">
        <w:rPr>
          <w:rFonts w:eastAsiaTheme="minorHAnsi"/>
          <w:sz w:val="24"/>
          <w:szCs w:val="24"/>
        </w:rPr>
        <w:t xml:space="preserve">  </w:t>
      </w:r>
      <w:proofErr w:type="spellStart"/>
      <w:r w:rsidRPr="003A34B2">
        <w:rPr>
          <w:rFonts w:eastAsiaTheme="minorHAnsi"/>
          <w:sz w:val="24"/>
          <w:szCs w:val="24"/>
        </w:rPr>
        <w:t>да</w:t>
      </w:r>
      <w:proofErr w:type="spellEnd"/>
      <w:r w:rsidRPr="003A34B2">
        <w:rPr>
          <w:rFonts w:eastAsiaTheme="minorHAnsi"/>
          <w:sz w:val="24"/>
          <w:szCs w:val="24"/>
        </w:rPr>
        <w:t xml:space="preserve">  </w:t>
      </w:r>
      <w:proofErr w:type="spellStart"/>
      <w:r w:rsidRPr="003A34B2">
        <w:rPr>
          <w:rFonts w:eastAsiaTheme="minorHAnsi"/>
          <w:sz w:val="24"/>
          <w:szCs w:val="24"/>
        </w:rPr>
        <w:t>понуђач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мора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имати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минимално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једно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радно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ангажовано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лице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које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ће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бити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ангажовано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на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реализацији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уговора</w:t>
      </w:r>
      <w:proofErr w:type="spellEnd"/>
      <w:r w:rsidRPr="003A34B2">
        <w:rPr>
          <w:rFonts w:eastAsiaTheme="minorHAnsi"/>
          <w:sz w:val="24"/>
          <w:szCs w:val="24"/>
        </w:rPr>
        <w:t xml:space="preserve">, а </w:t>
      </w:r>
      <w:proofErr w:type="spellStart"/>
      <w:r w:rsidRPr="003A34B2">
        <w:rPr>
          <w:rFonts w:eastAsiaTheme="minorHAnsi"/>
          <w:sz w:val="24"/>
          <w:szCs w:val="24"/>
        </w:rPr>
        <w:t>које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поседује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сертификат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произвођача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понуђених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бежичних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тачака</w:t>
      </w:r>
      <w:proofErr w:type="spellEnd"/>
      <w:r w:rsidRPr="003A34B2">
        <w:rPr>
          <w:rFonts w:eastAsiaTheme="minorHAnsi"/>
          <w:sz w:val="24"/>
          <w:szCs w:val="24"/>
        </w:rPr>
        <w:t xml:space="preserve">  </w:t>
      </w:r>
      <w:proofErr w:type="spellStart"/>
      <w:r w:rsidRPr="003A34B2">
        <w:rPr>
          <w:rFonts w:eastAsiaTheme="minorHAnsi"/>
          <w:sz w:val="24"/>
          <w:szCs w:val="24"/>
        </w:rPr>
        <w:t>приступа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експертског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нивоа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са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специјализацијом</w:t>
      </w:r>
      <w:proofErr w:type="spellEnd"/>
      <w:r w:rsidRPr="003A34B2">
        <w:rPr>
          <w:rFonts w:eastAsiaTheme="minorHAnsi"/>
          <w:sz w:val="24"/>
          <w:szCs w:val="24"/>
        </w:rPr>
        <w:t xml:space="preserve"> у </w:t>
      </w:r>
      <w:proofErr w:type="spellStart"/>
      <w:r w:rsidRPr="003A34B2">
        <w:rPr>
          <w:rFonts w:eastAsiaTheme="minorHAnsi"/>
          <w:sz w:val="24"/>
          <w:szCs w:val="24"/>
        </w:rPr>
        <w:t>области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бежичне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мрежне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опреме</w:t>
      </w:r>
      <w:proofErr w:type="spellEnd"/>
      <w:r w:rsidRPr="003A34B2">
        <w:rPr>
          <w:rFonts w:eastAsiaTheme="minorHAnsi"/>
          <w:sz w:val="24"/>
          <w:szCs w:val="24"/>
        </w:rPr>
        <w:t xml:space="preserve">. У </w:t>
      </w:r>
      <w:proofErr w:type="spellStart"/>
      <w:r w:rsidRPr="003A34B2">
        <w:rPr>
          <w:rFonts w:eastAsiaTheme="minorHAnsi"/>
          <w:sz w:val="24"/>
          <w:szCs w:val="24"/>
        </w:rPr>
        <w:t>примеру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наводите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произвођача</w:t>
      </w:r>
      <w:proofErr w:type="spellEnd"/>
      <w:r w:rsidRPr="003A34B2">
        <w:rPr>
          <w:rFonts w:eastAsiaTheme="minorHAnsi"/>
          <w:sz w:val="24"/>
          <w:szCs w:val="24"/>
        </w:rPr>
        <w:t xml:space="preserve"> Aruba </w:t>
      </w:r>
      <w:proofErr w:type="spellStart"/>
      <w:r w:rsidRPr="003A34B2">
        <w:rPr>
          <w:rFonts w:eastAsiaTheme="minorHAnsi"/>
          <w:sz w:val="24"/>
          <w:szCs w:val="24"/>
        </w:rPr>
        <w:t>i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сертификат</w:t>
      </w:r>
      <w:proofErr w:type="spellEnd"/>
      <w:r w:rsidRPr="003A34B2">
        <w:rPr>
          <w:rFonts w:eastAsiaTheme="minorHAnsi"/>
          <w:sz w:val="24"/>
          <w:szCs w:val="24"/>
        </w:rPr>
        <w:t xml:space="preserve"> Aruba Certified Mobility, Huawei </w:t>
      </w:r>
      <w:proofErr w:type="spellStart"/>
      <w:r w:rsidRPr="003A34B2">
        <w:rPr>
          <w:rFonts w:eastAsiaTheme="minorHAnsi"/>
          <w:sz w:val="24"/>
          <w:szCs w:val="24"/>
        </w:rPr>
        <w:t>isertifikat</w:t>
      </w:r>
      <w:proofErr w:type="spellEnd"/>
      <w:r w:rsidRPr="003A34B2">
        <w:rPr>
          <w:rFonts w:eastAsiaTheme="minorHAnsi"/>
          <w:sz w:val="24"/>
          <w:szCs w:val="24"/>
        </w:rPr>
        <w:t xml:space="preserve"> HCIE – WLAN </w:t>
      </w:r>
      <w:proofErr w:type="spellStart"/>
      <w:r w:rsidRPr="003A34B2">
        <w:rPr>
          <w:rFonts w:eastAsiaTheme="minorHAnsi"/>
          <w:sz w:val="24"/>
          <w:szCs w:val="24"/>
        </w:rPr>
        <w:t>i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gramStart"/>
      <w:r w:rsidRPr="003A34B2">
        <w:rPr>
          <w:rFonts w:eastAsiaTheme="minorHAnsi"/>
          <w:sz w:val="24"/>
          <w:szCs w:val="24"/>
        </w:rPr>
        <w:t xml:space="preserve">Cisco  </w:t>
      </w:r>
      <w:proofErr w:type="spellStart"/>
      <w:r w:rsidRPr="003A34B2">
        <w:rPr>
          <w:rFonts w:eastAsiaTheme="minorHAnsi"/>
          <w:sz w:val="24"/>
          <w:szCs w:val="24"/>
        </w:rPr>
        <w:t>sertifikat</w:t>
      </w:r>
      <w:proofErr w:type="spellEnd"/>
      <w:proofErr w:type="gramEnd"/>
      <w:r w:rsidRPr="003A34B2">
        <w:rPr>
          <w:rFonts w:eastAsiaTheme="minorHAnsi"/>
          <w:sz w:val="24"/>
          <w:szCs w:val="24"/>
        </w:rPr>
        <w:t xml:space="preserve"> CCIE Wireless. </w:t>
      </w:r>
    </w:p>
    <w:p w:rsidR="00BD5490" w:rsidRPr="003A34B2" w:rsidRDefault="00BD5490" w:rsidP="00BD5490">
      <w:pPr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BD5490" w:rsidRPr="003A34B2" w:rsidRDefault="00BD5490" w:rsidP="00AD4A63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Како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овом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поступку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због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огрнаичења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конкуренције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техничким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захтевом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може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понудити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само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опрема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произвошача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CISCO,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једино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лице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које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може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бити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агажовано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реализацији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уговора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, а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које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поседује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тражени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сертификат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произвођача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експертског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нивоа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специјализацијом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бежичне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мрежне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опреме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само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лице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које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располаже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Cisco 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сертификат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CCIE Wireless.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Даљом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провером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базе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сертификата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лица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које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имају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A34B2">
        <w:rPr>
          <w:rFonts w:ascii="Times New Roman" w:eastAsiaTheme="minorHAnsi" w:hAnsi="Times New Roman"/>
          <w:sz w:val="24"/>
          <w:szCs w:val="24"/>
        </w:rPr>
        <w:t xml:space="preserve">Cisco 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sertifikat</w:t>
      </w:r>
      <w:proofErr w:type="spellEnd"/>
      <w:proofErr w:type="gramEnd"/>
      <w:r w:rsidRPr="003A34B2">
        <w:rPr>
          <w:rFonts w:ascii="Times New Roman" w:eastAsiaTheme="minorHAnsi" w:hAnsi="Times New Roman"/>
          <w:sz w:val="24"/>
          <w:szCs w:val="24"/>
        </w:rPr>
        <w:t xml:space="preserve"> CCIE Wireless,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утврдили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смо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да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само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једно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лице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r w:rsidR="00286AF7" w:rsidRPr="003A34B2">
        <w:rPr>
          <w:rFonts w:ascii="Times New Roman" w:eastAsiaTheme="minorHAnsi" w:hAnsi="Times New Roman"/>
          <w:sz w:val="24"/>
          <w:szCs w:val="24"/>
        </w:rPr>
        <w:t>у</w:t>
      </w:r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Републици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Србији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има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овај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286AF7" w:rsidRPr="003A34B2">
        <w:rPr>
          <w:rFonts w:ascii="Times New Roman" w:eastAsiaTheme="minorHAnsi" w:hAnsi="Times New Roman"/>
          <w:sz w:val="24"/>
          <w:szCs w:val="24"/>
        </w:rPr>
        <w:t>сертификат</w:t>
      </w:r>
      <w:proofErr w:type="spellEnd"/>
      <w:r w:rsidRPr="003A34B2">
        <w:rPr>
          <w:rFonts w:ascii="Times New Roman" w:eastAsiaTheme="minorHAnsi" w:hAnsi="Times New Roman"/>
          <w:sz w:val="24"/>
          <w:szCs w:val="24"/>
        </w:rPr>
        <w:t>.</w:t>
      </w:r>
    </w:p>
    <w:p w:rsidR="00BD5490" w:rsidRPr="003A34B2" w:rsidRDefault="00BD5490" w:rsidP="00BD5490">
      <w:pPr>
        <w:ind w:left="720"/>
        <w:contextualSpacing/>
        <w:rPr>
          <w:rFonts w:ascii="Times New Roman" w:eastAsiaTheme="minorHAnsi" w:hAnsi="Times New Roman"/>
          <w:sz w:val="24"/>
          <w:szCs w:val="24"/>
          <w:lang w:val="sr-Latn-RS"/>
        </w:rPr>
      </w:pPr>
    </w:p>
    <w:p w:rsidR="00BD5490" w:rsidRPr="003A34B2" w:rsidRDefault="00286AF7" w:rsidP="003C1F0A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  <w:lang w:val="sr-Latn-RS"/>
        </w:rPr>
      </w:pP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Како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је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Законом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о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јавним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набавкам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чланом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10.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предвиђено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је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Наручилац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дужан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у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поступку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набавке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омогући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796BED">
        <w:rPr>
          <w:rFonts w:ascii="Times New Roman" w:eastAsiaTheme="minorHAnsi" w:hAnsi="Times New Roman"/>
          <w:sz w:val="24"/>
          <w:szCs w:val="24"/>
          <w:lang w:val="sr-Cyrl-RS"/>
        </w:rPr>
        <w:t>ш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то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већу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конкуренцију</w:t>
      </w:r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>,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 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сматрамо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да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>је</w:t>
      </w:r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оваквим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захтевом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="00BD5490"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наручилац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прекршио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наведену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одредбу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и</w:t>
      </w:r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омогућио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да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у</w:t>
      </w:r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поступку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учествује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само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један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понуђач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>.</w:t>
      </w:r>
    </w:p>
    <w:p w:rsidR="00BD5490" w:rsidRPr="003A34B2" w:rsidRDefault="00286AF7" w:rsidP="003C1F0A">
      <w:pPr>
        <w:ind w:left="72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lastRenderedPageBreak/>
        <w:t>Из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наведених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разлога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сматрамо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да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је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Наручилац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дужан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да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изврши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промену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свог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техничког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захтева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и</w:t>
      </w:r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исправи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конкурсну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докуметацију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на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тај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начин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да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више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понуђача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може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да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учествује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у</w:t>
      </w:r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поступку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  <w:lang w:val="sr-Latn-RS"/>
        </w:rPr>
        <w:t>набавке</w:t>
      </w:r>
      <w:proofErr w:type="spellEnd"/>
      <w:r w:rsidR="00BD5490" w:rsidRPr="003A34B2">
        <w:rPr>
          <w:rFonts w:ascii="Times New Roman" w:eastAsiaTheme="minorHAnsi" w:hAnsi="Times New Roman"/>
          <w:sz w:val="24"/>
          <w:szCs w:val="24"/>
          <w:lang w:val="sr-Latn-RS"/>
        </w:rPr>
        <w:t>.</w:t>
      </w:r>
    </w:p>
    <w:p w:rsidR="00BD5490" w:rsidRPr="003A34B2" w:rsidRDefault="00BD5490" w:rsidP="00286AF7">
      <w:pPr>
        <w:pStyle w:val="Pasussalistom"/>
        <w:tabs>
          <w:tab w:val="left" w:pos="284"/>
          <w:tab w:val="left" w:pos="1440"/>
        </w:tabs>
        <w:ind w:left="644"/>
        <w:jc w:val="both"/>
        <w:rPr>
          <w:b/>
          <w:sz w:val="24"/>
          <w:szCs w:val="24"/>
          <w:highlight w:val="yellow"/>
          <w:u w:val="single"/>
          <w:lang w:val="sr-Cyrl-RS"/>
        </w:rPr>
      </w:pPr>
    </w:p>
    <w:p w:rsidR="00286AF7" w:rsidRPr="006B7D28" w:rsidRDefault="00286AF7" w:rsidP="00286AF7">
      <w:pPr>
        <w:pStyle w:val="Pasussalistom"/>
        <w:numPr>
          <w:ilvl w:val="0"/>
          <w:numId w:val="8"/>
        </w:numPr>
        <w:tabs>
          <w:tab w:val="left" w:pos="284"/>
          <w:tab w:val="left" w:pos="1440"/>
        </w:tabs>
        <w:jc w:val="both"/>
        <w:rPr>
          <w:b/>
          <w:sz w:val="24"/>
          <w:szCs w:val="24"/>
          <w:highlight w:val="yellow"/>
          <w:u w:val="single"/>
          <w:lang w:val="sr-Cyrl-RS"/>
        </w:rPr>
      </w:pPr>
      <w:r w:rsidRPr="006B7D28">
        <w:rPr>
          <w:b/>
          <w:sz w:val="24"/>
          <w:szCs w:val="24"/>
          <w:highlight w:val="yellow"/>
          <w:u w:val="single"/>
          <w:lang w:val="sr-Cyrl-RS"/>
        </w:rPr>
        <w:t xml:space="preserve">Одговор: </w:t>
      </w:r>
    </w:p>
    <w:p w:rsidR="00286AF7" w:rsidRPr="006B7D28" w:rsidRDefault="00286AF7" w:rsidP="00286AF7">
      <w:pPr>
        <w:tabs>
          <w:tab w:val="left" w:pos="284"/>
          <w:tab w:val="left" w:pos="1440"/>
        </w:tabs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:rsidR="000A566F" w:rsidRPr="006B7D28" w:rsidRDefault="000A25E4" w:rsidP="00286AF7">
      <w:pPr>
        <w:tabs>
          <w:tab w:val="left" w:pos="284"/>
          <w:tab w:val="left" w:pos="1440"/>
        </w:tabs>
        <w:jc w:val="both"/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</w:pPr>
      <w:r w:rsidRPr="006B7D28">
        <w:rPr>
          <w:rFonts w:ascii="Times New Roman" w:hAnsi="Times New Roman"/>
          <w:sz w:val="24"/>
          <w:szCs w:val="24"/>
          <w:highlight w:val="yellow"/>
          <w:lang w:val="sr-Cyrl-RS"/>
        </w:rPr>
        <w:t>Имајући у виду одговоре на питање број 6 Наручилац констатује да навод Понуђача: „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К</w:t>
      </w:r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>ако</w:t>
      </w:r>
      <w:proofErr w:type="spellEnd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>се</w:t>
      </w:r>
      <w:proofErr w:type="spellEnd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 xml:space="preserve"> у </w:t>
      </w:r>
      <w:proofErr w:type="spellStart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>овом</w:t>
      </w:r>
      <w:proofErr w:type="spellEnd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>поступку</w:t>
      </w:r>
      <w:proofErr w:type="spellEnd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>због</w:t>
      </w:r>
      <w:proofErr w:type="spellEnd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="0075653A">
        <w:rPr>
          <w:rFonts w:ascii="Times New Roman" w:eastAsiaTheme="minorHAnsi" w:hAnsi="Times New Roman"/>
          <w:sz w:val="24"/>
          <w:szCs w:val="24"/>
          <w:highlight w:val="yellow"/>
        </w:rPr>
        <w:t>огр</w:t>
      </w:r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аи</w:t>
      </w:r>
      <w:proofErr w:type="spellEnd"/>
      <w:r w:rsidR="0075653A"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>и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чења</w:t>
      </w:r>
      <w:proofErr w:type="spellEnd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конкуренције</w:t>
      </w:r>
      <w:proofErr w:type="spellEnd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техничким</w:t>
      </w:r>
      <w:proofErr w:type="spellEnd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захтевом</w:t>
      </w:r>
      <w:proofErr w:type="spellEnd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може</w:t>
      </w:r>
      <w:proofErr w:type="spellEnd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понудити</w:t>
      </w:r>
      <w:proofErr w:type="spellEnd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само</w:t>
      </w:r>
      <w:proofErr w:type="spellEnd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опрема</w:t>
      </w:r>
      <w:proofErr w:type="spellEnd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 xml:space="preserve"> 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>произвошача</w:t>
      </w:r>
      <w:proofErr w:type="spellEnd"/>
      <w:r w:rsidRPr="006B7D28">
        <w:rPr>
          <w:rFonts w:ascii="Times New Roman" w:eastAsiaTheme="minorHAnsi" w:hAnsi="Times New Roman"/>
          <w:sz w:val="24"/>
          <w:szCs w:val="24"/>
          <w:highlight w:val="yellow"/>
        </w:rPr>
        <w:t xml:space="preserve"> CISCO</w:t>
      </w:r>
      <w:r w:rsidRPr="006B7D28"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 xml:space="preserve">“ није тачан. Додатно сваки од неколико произвођача чија опрема може бити понуђена има од неколико до неколико десетина пословних партнера који могу понудити одговарајућу </w:t>
      </w:r>
      <w:proofErr w:type="spellStart"/>
      <w:r w:rsidRPr="006B7D28"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>опрему</w:t>
      </w:r>
      <w:r w:rsidR="003F1BF7"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>.Такође</w:t>
      </w:r>
      <w:proofErr w:type="spellEnd"/>
      <w:r w:rsidR="003F1BF7"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>, постоји могућност и подношења заједничке понуде у смислу ЗЈН</w:t>
      </w:r>
      <w:r w:rsidRPr="006B7D28"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>.</w:t>
      </w:r>
      <w:r w:rsidR="000A566F" w:rsidRPr="006B7D28"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 xml:space="preserve"> </w:t>
      </w:r>
    </w:p>
    <w:p w:rsidR="000A25E4" w:rsidRDefault="00A13DDF" w:rsidP="00286AF7">
      <w:pPr>
        <w:tabs>
          <w:tab w:val="left" w:pos="284"/>
          <w:tab w:val="left" w:pos="1440"/>
        </w:tabs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>Такође,</w:t>
      </w:r>
      <w:r w:rsidR="000A25E4" w:rsidRPr="006B7D28"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 xml:space="preserve"> условом ни на који начин није условљено да лице са траженим сертификатом мора бити стално радно ангажовано код понуђача нити је захтевано физичко присуство лица у Републици Србији током реализације уговора</w:t>
      </w:r>
      <w:r w:rsidR="00C815B9" w:rsidRPr="006B7D28">
        <w:rPr>
          <w:rFonts w:ascii="Times New Roman" w:eastAsiaTheme="minorHAnsi" w:hAnsi="Times New Roman"/>
          <w:sz w:val="24"/>
          <w:szCs w:val="24"/>
          <w:highlight w:val="yellow"/>
          <w:lang w:val="sr-Cyrl-RS"/>
        </w:rPr>
        <w:t xml:space="preserve"> односно могуће је ангажовање стручњака и из иностранства.</w:t>
      </w:r>
    </w:p>
    <w:p w:rsidR="0010795C" w:rsidRPr="003A34B2" w:rsidRDefault="0010795C" w:rsidP="00286AF7">
      <w:pPr>
        <w:tabs>
          <w:tab w:val="left" w:pos="284"/>
          <w:tab w:val="left" w:pos="144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sr-Cyrl-RS"/>
        </w:rPr>
      </w:pPr>
    </w:p>
    <w:p w:rsidR="00286AF7" w:rsidRPr="003A34B2" w:rsidRDefault="00286AF7" w:rsidP="003C1F0A">
      <w:pPr>
        <w:pStyle w:val="Pasussalistom"/>
        <w:numPr>
          <w:ilvl w:val="0"/>
          <w:numId w:val="8"/>
        </w:numPr>
        <w:spacing w:after="200" w:line="276" w:lineRule="auto"/>
        <w:jc w:val="both"/>
        <w:rPr>
          <w:rFonts w:eastAsiaTheme="minorHAnsi"/>
          <w:sz w:val="24"/>
          <w:szCs w:val="24"/>
        </w:rPr>
      </w:pPr>
      <w:r w:rsidRPr="00BC46E5">
        <w:rPr>
          <w:b/>
          <w:sz w:val="24"/>
          <w:szCs w:val="24"/>
          <w:u w:val="single"/>
          <w:lang w:val="sr-Cyrl-RS"/>
        </w:rPr>
        <w:t>Питање:</w:t>
      </w:r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На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страни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0A566F">
        <w:rPr>
          <w:rFonts w:eastAsiaTheme="minorHAnsi"/>
          <w:sz w:val="24"/>
          <w:szCs w:val="24"/>
        </w:rPr>
        <w:t>број</w:t>
      </w:r>
      <w:proofErr w:type="spellEnd"/>
      <w:r w:rsidR="000A566F">
        <w:rPr>
          <w:rFonts w:eastAsiaTheme="minorHAnsi"/>
          <w:sz w:val="24"/>
          <w:szCs w:val="24"/>
        </w:rPr>
        <w:t xml:space="preserve"> 33 </w:t>
      </w:r>
      <w:proofErr w:type="spellStart"/>
      <w:r w:rsidR="000A566F">
        <w:rPr>
          <w:rFonts w:eastAsiaTheme="minorHAnsi"/>
          <w:sz w:val="24"/>
          <w:szCs w:val="24"/>
        </w:rPr>
        <w:t>конкурсне</w:t>
      </w:r>
      <w:proofErr w:type="spellEnd"/>
      <w:r w:rsidR="000A566F">
        <w:rPr>
          <w:rFonts w:eastAsiaTheme="minorHAnsi"/>
          <w:sz w:val="24"/>
          <w:szCs w:val="24"/>
        </w:rPr>
        <w:t xml:space="preserve"> </w:t>
      </w:r>
      <w:proofErr w:type="spellStart"/>
      <w:r w:rsidR="000A566F">
        <w:rPr>
          <w:rFonts w:eastAsiaTheme="minorHAnsi"/>
          <w:sz w:val="24"/>
          <w:szCs w:val="24"/>
        </w:rPr>
        <w:t>документације</w:t>
      </w:r>
      <w:proofErr w:type="spellEnd"/>
      <w:r w:rsidRPr="003A34B2">
        <w:rPr>
          <w:rFonts w:eastAsiaTheme="minorHAnsi"/>
          <w:sz w:val="24"/>
          <w:szCs w:val="24"/>
        </w:rPr>
        <w:t xml:space="preserve">, </w:t>
      </w:r>
      <w:proofErr w:type="spellStart"/>
      <w:r w:rsidRPr="003A34B2">
        <w:rPr>
          <w:rFonts w:eastAsiaTheme="minorHAnsi"/>
          <w:sz w:val="24"/>
          <w:szCs w:val="24"/>
        </w:rPr>
        <w:t>наводите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да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понуђач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мора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да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има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највиши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ниво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партнерства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код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произвођача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понуђене</w:t>
      </w:r>
      <w:proofErr w:type="spellEnd"/>
      <w:r w:rsidRPr="003A34B2">
        <w:rPr>
          <w:rFonts w:eastAsiaTheme="minorHAnsi"/>
          <w:sz w:val="24"/>
          <w:szCs w:val="24"/>
        </w:rPr>
        <w:t xml:space="preserve">  </w:t>
      </w:r>
      <w:proofErr w:type="spellStart"/>
      <w:r w:rsidRPr="003A34B2">
        <w:rPr>
          <w:rFonts w:eastAsiaTheme="minorHAnsi"/>
          <w:sz w:val="24"/>
          <w:szCs w:val="24"/>
        </w:rPr>
        <w:t>мрежне</w:t>
      </w:r>
      <w:proofErr w:type="spellEnd"/>
      <w:r w:rsidRPr="003A34B2">
        <w:rPr>
          <w:rFonts w:eastAsiaTheme="minorHAnsi"/>
          <w:sz w:val="24"/>
          <w:szCs w:val="24"/>
        </w:rPr>
        <w:t xml:space="preserve">  </w:t>
      </w:r>
      <w:proofErr w:type="spellStart"/>
      <w:r w:rsidRPr="003A34B2">
        <w:rPr>
          <w:rFonts w:eastAsiaTheme="minorHAnsi"/>
          <w:sz w:val="24"/>
          <w:szCs w:val="24"/>
        </w:rPr>
        <w:t>опреме</w:t>
      </w:r>
      <w:proofErr w:type="spellEnd"/>
      <w:r w:rsidRPr="003A34B2">
        <w:rPr>
          <w:rFonts w:eastAsiaTheme="minorHAnsi"/>
          <w:sz w:val="24"/>
          <w:szCs w:val="24"/>
        </w:rPr>
        <w:t xml:space="preserve"> и </w:t>
      </w:r>
      <w:proofErr w:type="spellStart"/>
      <w:r w:rsidRPr="003A34B2">
        <w:rPr>
          <w:rFonts w:eastAsiaTheme="minorHAnsi"/>
          <w:sz w:val="24"/>
          <w:szCs w:val="24"/>
        </w:rPr>
        <w:t>то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за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централизовано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управљање</w:t>
      </w:r>
      <w:proofErr w:type="spellEnd"/>
      <w:r w:rsidRPr="003A34B2">
        <w:rPr>
          <w:rFonts w:eastAsiaTheme="minorHAnsi"/>
          <w:sz w:val="24"/>
          <w:szCs w:val="24"/>
        </w:rPr>
        <w:t xml:space="preserve"> и </w:t>
      </w:r>
      <w:proofErr w:type="spellStart"/>
      <w:r w:rsidRPr="003A34B2">
        <w:rPr>
          <w:rFonts w:eastAsiaTheme="minorHAnsi"/>
          <w:sz w:val="24"/>
          <w:szCs w:val="24"/>
        </w:rPr>
        <w:t>надгледање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бежичном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инфраструктуром</w:t>
      </w:r>
      <w:proofErr w:type="spellEnd"/>
      <w:r w:rsidRPr="003A34B2">
        <w:rPr>
          <w:rFonts w:eastAsiaTheme="minorHAnsi"/>
          <w:sz w:val="24"/>
          <w:szCs w:val="24"/>
        </w:rPr>
        <w:t xml:space="preserve"> и </w:t>
      </w:r>
      <w:proofErr w:type="spellStart"/>
      <w:r w:rsidRPr="003A34B2">
        <w:rPr>
          <w:rFonts w:eastAsiaTheme="minorHAnsi"/>
          <w:sz w:val="24"/>
          <w:szCs w:val="24"/>
        </w:rPr>
        <w:t>за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бежичне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тачке</w:t>
      </w:r>
      <w:proofErr w:type="spellEnd"/>
      <w:r w:rsidRPr="003A34B2">
        <w:rPr>
          <w:rFonts w:eastAsiaTheme="minorHAnsi"/>
          <w:sz w:val="24"/>
          <w:szCs w:val="24"/>
        </w:rPr>
        <w:t xml:space="preserve">  </w:t>
      </w:r>
      <w:proofErr w:type="spellStart"/>
      <w:r w:rsidRPr="003A34B2">
        <w:rPr>
          <w:rFonts w:eastAsiaTheme="minorHAnsi"/>
          <w:sz w:val="24"/>
          <w:szCs w:val="24"/>
        </w:rPr>
        <w:t>приступа</w:t>
      </w:r>
      <w:proofErr w:type="spellEnd"/>
      <w:r w:rsidRPr="003A34B2">
        <w:rPr>
          <w:rFonts w:eastAsiaTheme="minorHAnsi"/>
          <w:sz w:val="24"/>
          <w:szCs w:val="24"/>
        </w:rPr>
        <w:t xml:space="preserve">. У </w:t>
      </w:r>
      <w:proofErr w:type="spellStart"/>
      <w:r w:rsidRPr="003A34B2">
        <w:rPr>
          <w:rFonts w:eastAsiaTheme="minorHAnsi"/>
          <w:sz w:val="24"/>
          <w:szCs w:val="24"/>
        </w:rPr>
        <w:t>примеру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наводите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да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је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то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код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proofErr w:type="gramStart"/>
      <w:r w:rsidRPr="003A34B2">
        <w:rPr>
          <w:rFonts w:eastAsiaTheme="minorHAnsi"/>
          <w:sz w:val="24"/>
          <w:szCs w:val="24"/>
        </w:rPr>
        <w:t>произвођача</w:t>
      </w:r>
      <w:proofErr w:type="spellEnd"/>
      <w:r w:rsidRPr="003A34B2">
        <w:rPr>
          <w:rFonts w:eastAsiaTheme="minorHAnsi"/>
          <w:sz w:val="24"/>
          <w:szCs w:val="24"/>
        </w:rPr>
        <w:t xml:space="preserve">  Aruba</w:t>
      </w:r>
      <w:proofErr w:type="gram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Pr="003A34B2">
        <w:rPr>
          <w:rFonts w:eastAsiaTheme="minorHAnsi"/>
          <w:sz w:val="24"/>
          <w:szCs w:val="24"/>
        </w:rPr>
        <w:t>p</w:t>
      </w:r>
      <w:r w:rsidR="009C5C1F" w:rsidRPr="003A34B2">
        <w:rPr>
          <w:rFonts w:eastAsiaTheme="minorHAnsi"/>
          <w:sz w:val="24"/>
          <w:szCs w:val="24"/>
        </w:rPr>
        <w:t>рихватљив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ниво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партнерства</w:t>
      </w:r>
      <w:proofErr w:type="spellEnd"/>
      <w:r w:rsidRPr="003A34B2">
        <w:rPr>
          <w:rFonts w:eastAsiaTheme="minorHAnsi"/>
          <w:sz w:val="24"/>
          <w:szCs w:val="24"/>
        </w:rPr>
        <w:t xml:space="preserve"> Platinum, </w:t>
      </w:r>
      <w:proofErr w:type="spellStart"/>
      <w:r w:rsidR="009C5C1F" w:rsidRPr="003A34B2">
        <w:rPr>
          <w:rFonts w:eastAsiaTheme="minorHAnsi"/>
          <w:sz w:val="24"/>
          <w:szCs w:val="24"/>
        </w:rPr>
        <w:t>за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произвођача</w:t>
      </w:r>
      <w:proofErr w:type="spellEnd"/>
      <w:r w:rsidRPr="003A34B2">
        <w:rPr>
          <w:rFonts w:eastAsiaTheme="minorHAnsi"/>
          <w:sz w:val="24"/>
          <w:szCs w:val="24"/>
        </w:rPr>
        <w:t xml:space="preserve"> Huawei </w:t>
      </w:r>
      <w:proofErr w:type="spellStart"/>
      <w:r w:rsidR="009C5C1F" w:rsidRPr="003A34B2">
        <w:rPr>
          <w:rFonts w:eastAsiaTheme="minorHAnsi"/>
          <w:sz w:val="24"/>
          <w:szCs w:val="24"/>
        </w:rPr>
        <w:t>прихватљив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је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ниво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партнерства</w:t>
      </w:r>
      <w:proofErr w:type="spellEnd"/>
      <w:r w:rsidRPr="003A34B2">
        <w:rPr>
          <w:rFonts w:eastAsiaTheme="minorHAnsi"/>
          <w:sz w:val="24"/>
          <w:szCs w:val="24"/>
        </w:rPr>
        <w:t xml:space="preserve"> VAP, </w:t>
      </w:r>
      <w:proofErr w:type="spellStart"/>
      <w:r w:rsidR="009C5C1F" w:rsidRPr="003A34B2">
        <w:rPr>
          <w:rFonts w:eastAsiaTheme="minorHAnsi"/>
          <w:sz w:val="24"/>
          <w:szCs w:val="24"/>
        </w:rPr>
        <w:t>за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произвођача</w:t>
      </w:r>
      <w:proofErr w:type="spellEnd"/>
      <w:r w:rsidRPr="003A34B2">
        <w:rPr>
          <w:rFonts w:eastAsiaTheme="minorHAnsi"/>
          <w:sz w:val="24"/>
          <w:szCs w:val="24"/>
        </w:rPr>
        <w:t xml:space="preserve"> Cisco </w:t>
      </w:r>
      <w:proofErr w:type="spellStart"/>
      <w:r w:rsidR="009C5C1F" w:rsidRPr="003A34B2">
        <w:rPr>
          <w:rFonts w:eastAsiaTheme="minorHAnsi"/>
          <w:sz w:val="24"/>
          <w:szCs w:val="24"/>
        </w:rPr>
        <w:t>прихватљив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је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ниво</w:t>
      </w:r>
      <w:proofErr w:type="spellEnd"/>
      <w:r w:rsidRPr="003A34B2">
        <w:rPr>
          <w:rFonts w:eastAsiaTheme="minorHAnsi"/>
          <w:sz w:val="24"/>
          <w:szCs w:val="24"/>
        </w:rPr>
        <w:t xml:space="preserve"> </w:t>
      </w:r>
      <w:proofErr w:type="spellStart"/>
      <w:r w:rsidR="009C5C1F" w:rsidRPr="003A34B2">
        <w:rPr>
          <w:rFonts w:eastAsiaTheme="minorHAnsi"/>
          <w:sz w:val="24"/>
          <w:szCs w:val="24"/>
        </w:rPr>
        <w:t>партнерства</w:t>
      </w:r>
      <w:proofErr w:type="spellEnd"/>
      <w:r w:rsidRPr="003A34B2">
        <w:rPr>
          <w:rFonts w:eastAsiaTheme="minorHAnsi"/>
          <w:sz w:val="24"/>
          <w:szCs w:val="24"/>
        </w:rPr>
        <w:t xml:space="preserve"> Gold.</w:t>
      </w:r>
    </w:p>
    <w:p w:rsidR="009C5C1F" w:rsidRPr="003A34B2" w:rsidRDefault="009C5C1F" w:rsidP="003C1F0A">
      <w:pPr>
        <w:contextualSpacing/>
        <w:rPr>
          <w:rFonts w:ascii="Times New Roman" w:eastAsiaTheme="minorHAnsi" w:hAnsi="Times New Roman"/>
          <w:sz w:val="24"/>
          <w:szCs w:val="24"/>
          <w:lang w:val="sr-Cyrl-RS"/>
        </w:rPr>
      </w:pP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</w:t>
      </w:r>
      <w:r w:rsidR="003C1F0A"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Питање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: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Уколико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потенцијални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понуђач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нуди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мрежну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опрему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произвођача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Hewlett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  </w:t>
      </w:r>
    </w:p>
    <w:p w:rsidR="009C5C1F" w:rsidRPr="003A34B2" w:rsidRDefault="009C5C1F" w:rsidP="003C1F0A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  <w:r w:rsidR="003C1F0A"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Packard,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минимални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ниво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партнерства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прихватљив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када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је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r w:rsidRPr="003A34B2">
        <w:rPr>
          <w:rFonts w:ascii="Times New Roman" w:eastAsiaTheme="minorHAnsi" w:hAnsi="Times New Roman"/>
          <w:sz w:val="24"/>
          <w:szCs w:val="24"/>
        </w:rPr>
        <w:t>у</w:t>
      </w:r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питању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A34B2">
        <w:rPr>
          <w:rFonts w:ascii="Times New Roman" w:eastAsiaTheme="minorHAnsi" w:hAnsi="Times New Roman"/>
          <w:sz w:val="24"/>
          <w:szCs w:val="24"/>
        </w:rPr>
        <w:t>овај</w:t>
      </w:r>
      <w:proofErr w:type="spellEnd"/>
      <w:r w:rsidR="00286AF7" w:rsidRPr="003A34B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86AF7" w:rsidRPr="003A34B2" w:rsidRDefault="009C5C1F" w:rsidP="003C1F0A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      </w:t>
      </w:r>
      <w:r w:rsidR="003C1F0A"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Pr="003A34B2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3A34B2">
        <w:rPr>
          <w:rFonts w:ascii="Times New Roman" w:eastAsiaTheme="minorHAnsi" w:hAnsi="Times New Roman"/>
          <w:sz w:val="24"/>
          <w:szCs w:val="24"/>
        </w:rPr>
        <w:t>произвођач</w:t>
      </w:r>
      <w:proofErr w:type="spellEnd"/>
      <w:proofErr w:type="gramEnd"/>
      <w:r w:rsidR="00286AF7" w:rsidRPr="003A34B2">
        <w:rPr>
          <w:rFonts w:ascii="Times New Roman" w:eastAsiaTheme="minorHAnsi" w:hAnsi="Times New Roman"/>
          <w:sz w:val="24"/>
          <w:szCs w:val="24"/>
        </w:rPr>
        <w:t>?</w:t>
      </w:r>
    </w:p>
    <w:p w:rsidR="00286AF7" w:rsidRPr="003A34B2" w:rsidRDefault="00286AF7" w:rsidP="009C5C1F">
      <w:pPr>
        <w:tabs>
          <w:tab w:val="left" w:pos="284"/>
          <w:tab w:val="left" w:pos="1440"/>
        </w:tabs>
        <w:jc w:val="both"/>
        <w:rPr>
          <w:rFonts w:ascii="Times New Roman" w:hAnsi="Times New Roman"/>
          <w:b/>
          <w:sz w:val="24"/>
          <w:szCs w:val="24"/>
          <w:highlight w:val="yellow"/>
          <w:u w:val="single"/>
          <w:lang w:val="sr-Cyrl-RS"/>
        </w:rPr>
      </w:pPr>
    </w:p>
    <w:p w:rsidR="009C5C1F" w:rsidRDefault="009C5C1F" w:rsidP="009C5C1F">
      <w:pPr>
        <w:pStyle w:val="Pasussalistom"/>
        <w:numPr>
          <w:ilvl w:val="0"/>
          <w:numId w:val="9"/>
        </w:numPr>
        <w:tabs>
          <w:tab w:val="left" w:pos="284"/>
          <w:tab w:val="left" w:pos="1440"/>
        </w:tabs>
        <w:jc w:val="both"/>
        <w:rPr>
          <w:b/>
          <w:sz w:val="24"/>
          <w:szCs w:val="24"/>
          <w:highlight w:val="yellow"/>
          <w:u w:val="single"/>
          <w:lang w:val="sr-Cyrl-RS"/>
        </w:rPr>
      </w:pPr>
      <w:r w:rsidRPr="003A34B2">
        <w:rPr>
          <w:b/>
          <w:sz w:val="24"/>
          <w:szCs w:val="24"/>
          <w:highlight w:val="yellow"/>
          <w:u w:val="single"/>
          <w:lang w:val="sr-Cyrl-RS"/>
        </w:rPr>
        <w:t>Одговор:</w:t>
      </w:r>
    </w:p>
    <w:p w:rsidR="002C2CB7" w:rsidRDefault="002C2CB7" w:rsidP="008631F6">
      <w:pPr>
        <w:pStyle w:val="Pasussalistom"/>
        <w:tabs>
          <w:tab w:val="left" w:pos="284"/>
          <w:tab w:val="left" w:pos="1440"/>
        </w:tabs>
        <w:ind w:left="644"/>
        <w:jc w:val="both"/>
        <w:rPr>
          <w:sz w:val="24"/>
          <w:szCs w:val="24"/>
          <w:highlight w:val="yellow"/>
          <w:lang w:val="sr-Cyrl-RS"/>
        </w:rPr>
      </w:pPr>
    </w:p>
    <w:p w:rsidR="002C2CB7" w:rsidRPr="006B7D28" w:rsidRDefault="002C2CB7" w:rsidP="008631F6">
      <w:pPr>
        <w:pStyle w:val="Pasussalistom"/>
        <w:tabs>
          <w:tab w:val="left" w:pos="284"/>
          <w:tab w:val="left" w:pos="1440"/>
        </w:tabs>
        <w:ind w:left="644"/>
        <w:jc w:val="both"/>
        <w:rPr>
          <w:sz w:val="24"/>
          <w:szCs w:val="24"/>
          <w:highlight w:val="yellow"/>
        </w:rPr>
      </w:pPr>
      <w:r w:rsidRPr="006B7D28">
        <w:rPr>
          <w:sz w:val="24"/>
          <w:szCs w:val="24"/>
          <w:highlight w:val="yellow"/>
          <w:lang w:val="sr-Cyrl-RS"/>
        </w:rPr>
        <w:t xml:space="preserve">У случају произвођача </w:t>
      </w:r>
      <w:r w:rsidRPr="006B7D28">
        <w:rPr>
          <w:sz w:val="24"/>
          <w:szCs w:val="24"/>
          <w:highlight w:val="yellow"/>
        </w:rPr>
        <w:t>HP</w:t>
      </w:r>
      <w:r w:rsidRPr="006B7D28">
        <w:rPr>
          <w:sz w:val="24"/>
          <w:szCs w:val="24"/>
          <w:highlight w:val="yellow"/>
          <w:lang w:val="sr-Cyrl-RS"/>
        </w:rPr>
        <w:t xml:space="preserve"> прихватљив ниво партнерства је </w:t>
      </w:r>
      <w:r w:rsidRPr="006B7D28">
        <w:rPr>
          <w:sz w:val="24"/>
          <w:szCs w:val="24"/>
          <w:highlight w:val="yellow"/>
        </w:rPr>
        <w:t>Platinum</w:t>
      </w:r>
    </w:p>
    <w:p w:rsidR="002C2CB7" w:rsidRDefault="002C2CB7" w:rsidP="008631F6">
      <w:pPr>
        <w:pStyle w:val="Pasussalistom"/>
        <w:tabs>
          <w:tab w:val="left" w:pos="284"/>
          <w:tab w:val="left" w:pos="1440"/>
        </w:tabs>
        <w:ind w:left="644"/>
        <w:jc w:val="both"/>
        <w:rPr>
          <w:sz w:val="24"/>
          <w:szCs w:val="24"/>
          <w:highlight w:val="yellow"/>
          <w:lang w:val="sr-Cyrl-RS"/>
        </w:rPr>
      </w:pPr>
    </w:p>
    <w:p w:rsidR="00C815B9" w:rsidRDefault="00C815B9" w:rsidP="00C815B9">
      <w:pPr>
        <w:tabs>
          <w:tab w:val="left" w:pos="284"/>
          <w:tab w:val="left" w:pos="1440"/>
        </w:tabs>
        <w:jc w:val="both"/>
        <w:rPr>
          <w:b/>
          <w:sz w:val="24"/>
          <w:szCs w:val="24"/>
          <w:highlight w:val="yellow"/>
          <w:u w:val="single"/>
          <w:lang w:val="sr-Cyrl-RS"/>
        </w:rPr>
      </w:pPr>
    </w:p>
    <w:p w:rsidR="00C815B9" w:rsidRPr="00C815B9" w:rsidRDefault="00C815B9" w:rsidP="00C815B9">
      <w:pPr>
        <w:tabs>
          <w:tab w:val="left" w:pos="284"/>
          <w:tab w:val="left" w:pos="1440"/>
        </w:tabs>
        <w:jc w:val="both"/>
        <w:rPr>
          <w:b/>
          <w:sz w:val="24"/>
          <w:szCs w:val="24"/>
          <w:highlight w:val="yellow"/>
          <w:u w:val="single"/>
        </w:rPr>
      </w:pPr>
    </w:p>
    <w:sectPr w:rsidR="00C815B9" w:rsidRPr="00C815B9" w:rsidSect="000931F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9E" w:rsidRDefault="002D2B9E" w:rsidP="000931F1">
      <w:pPr>
        <w:spacing w:after="0" w:line="240" w:lineRule="auto"/>
      </w:pPr>
      <w:r>
        <w:separator/>
      </w:r>
    </w:p>
  </w:endnote>
  <w:endnote w:type="continuationSeparator" w:id="0">
    <w:p w:rsidR="002D2B9E" w:rsidRDefault="002D2B9E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847" w:rsidRDefault="00200847">
    <w:pPr>
      <w:pStyle w:val="Podnojestranice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549C2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549C2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200847" w:rsidRDefault="00200847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9E" w:rsidRDefault="002D2B9E" w:rsidP="000931F1">
      <w:pPr>
        <w:spacing w:after="0" w:line="240" w:lineRule="auto"/>
      </w:pPr>
      <w:r>
        <w:separator/>
      </w:r>
    </w:p>
  </w:footnote>
  <w:footnote w:type="continuationSeparator" w:id="0">
    <w:p w:rsidR="002D2B9E" w:rsidRDefault="002D2B9E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A168A"/>
    <w:multiLevelType w:val="hybridMultilevel"/>
    <w:tmpl w:val="4BA67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DC6D7C"/>
    <w:multiLevelType w:val="hybridMultilevel"/>
    <w:tmpl w:val="A64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0B1E"/>
    <w:multiLevelType w:val="hybridMultilevel"/>
    <w:tmpl w:val="ED6864AA"/>
    <w:lvl w:ilvl="0" w:tplc="736ED90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60BD8"/>
    <w:multiLevelType w:val="hybridMultilevel"/>
    <w:tmpl w:val="9112F3D4"/>
    <w:lvl w:ilvl="0" w:tplc="A4F844A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E6EA3"/>
    <w:multiLevelType w:val="hybridMultilevel"/>
    <w:tmpl w:val="0298E0CE"/>
    <w:lvl w:ilvl="0" w:tplc="FAF2B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26E54"/>
    <w:multiLevelType w:val="hybridMultilevel"/>
    <w:tmpl w:val="68A2662C"/>
    <w:lvl w:ilvl="0" w:tplc="07A0E76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5E90679"/>
    <w:multiLevelType w:val="hybridMultilevel"/>
    <w:tmpl w:val="8DCC5044"/>
    <w:lvl w:ilvl="0" w:tplc="9B8E0B2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447A7"/>
    <w:multiLevelType w:val="hybridMultilevel"/>
    <w:tmpl w:val="54F6B224"/>
    <w:lvl w:ilvl="0" w:tplc="26E6A7A0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14"/>
    <w:rsid w:val="00012FF6"/>
    <w:rsid w:val="000306F2"/>
    <w:rsid w:val="00056EDA"/>
    <w:rsid w:val="00070DEA"/>
    <w:rsid w:val="000931F1"/>
    <w:rsid w:val="000A2279"/>
    <w:rsid w:val="000A25E4"/>
    <w:rsid w:val="000A566F"/>
    <w:rsid w:val="000B6834"/>
    <w:rsid w:val="000C6D02"/>
    <w:rsid w:val="000E612A"/>
    <w:rsid w:val="000F12C7"/>
    <w:rsid w:val="000F1DB5"/>
    <w:rsid w:val="00101FD2"/>
    <w:rsid w:val="00104C9C"/>
    <w:rsid w:val="0010795C"/>
    <w:rsid w:val="00111F39"/>
    <w:rsid w:val="00162CA4"/>
    <w:rsid w:val="001B14EA"/>
    <w:rsid w:val="001B5A96"/>
    <w:rsid w:val="001C4595"/>
    <w:rsid w:val="00200847"/>
    <w:rsid w:val="002373D5"/>
    <w:rsid w:val="00260F60"/>
    <w:rsid w:val="00267952"/>
    <w:rsid w:val="002732B2"/>
    <w:rsid w:val="0027364C"/>
    <w:rsid w:val="00286AF7"/>
    <w:rsid w:val="00293DCA"/>
    <w:rsid w:val="002C2CB7"/>
    <w:rsid w:val="002D0023"/>
    <w:rsid w:val="002D2B9E"/>
    <w:rsid w:val="002F0F81"/>
    <w:rsid w:val="002F5252"/>
    <w:rsid w:val="002F5DFA"/>
    <w:rsid w:val="00301B7B"/>
    <w:rsid w:val="00307E86"/>
    <w:rsid w:val="0031117C"/>
    <w:rsid w:val="00333E15"/>
    <w:rsid w:val="00353B70"/>
    <w:rsid w:val="00376D47"/>
    <w:rsid w:val="003A34B2"/>
    <w:rsid w:val="003A47CD"/>
    <w:rsid w:val="003B34AB"/>
    <w:rsid w:val="003B3589"/>
    <w:rsid w:val="003C1F0A"/>
    <w:rsid w:val="003F1BF7"/>
    <w:rsid w:val="004517DB"/>
    <w:rsid w:val="004925BA"/>
    <w:rsid w:val="0049753D"/>
    <w:rsid w:val="004C0BD1"/>
    <w:rsid w:val="004F6A51"/>
    <w:rsid w:val="00506BBE"/>
    <w:rsid w:val="005156E6"/>
    <w:rsid w:val="0054777F"/>
    <w:rsid w:val="00565125"/>
    <w:rsid w:val="005937E8"/>
    <w:rsid w:val="005C45A0"/>
    <w:rsid w:val="005D46FF"/>
    <w:rsid w:val="00612B3D"/>
    <w:rsid w:val="00626A07"/>
    <w:rsid w:val="00635571"/>
    <w:rsid w:val="00646D5B"/>
    <w:rsid w:val="006520B8"/>
    <w:rsid w:val="00671334"/>
    <w:rsid w:val="0068492F"/>
    <w:rsid w:val="006B7D28"/>
    <w:rsid w:val="0072655F"/>
    <w:rsid w:val="007359B1"/>
    <w:rsid w:val="0075653A"/>
    <w:rsid w:val="007705D4"/>
    <w:rsid w:val="00776499"/>
    <w:rsid w:val="007840B8"/>
    <w:rsid w:val="00796BED"/>
    <w:rsid w:val="00815767"/>
    <w:rsid w:val="00824D7A"/>
    <w:rsid w:val="00827F03"/>
    <w:rsid w:val="0083401D"/>
    <w:rsid w:val="008475FB"/>
    <w:rsid w:val="00854441"/>
    <w:rsid w:val="0086232A"/>
    <w:rsid w:val="008631F6"/>
    <w:rsid w:val="00863C14"/>
    <w:rsid w:val="008977A1"/>
    <w:rsid w:val="008A443D"/>
    <w:rsid w:val="008B052E"/>
    <w:rsid w:val="008F4A79"/>
    <w:rsid w:val="009036C4"/>
    <w:rsid w:val="00907DBD"/>
    <w:rsid w:val="00923FE3"/>
    <w:rsid w:val="00926E53"/>
    <w:rsid w:val="009549C2"/>
    <w:rsid w:val="00995C30"/>
    <w:rsid w:val="009A5848"/>
    <w:rsid w:val="009B4C14"/>
    <w:rsid w:val="009C5C1F"/>
    <w:rsid w:val="009D1C47"/>
    <w:rsid w:val="00A06BF7"/>
    <w:rsid w:val="00A13DDF"/>
    <w:rsid w:val="00A17C4C"/>
    <w:rsid w:val="00A47E94"/>
    <w:rsid w:val="00A5343D"/>
    <w:rsid w:val="00A7369B"/>
    <w:rsid w:val="00A9420B"/>
    <w:rsid w:val="00AA01FC"/>
    <w:rsid w:val="00AA78D2"/>
    <w:rsid w:val="00AD4A63"/>
    <w:rsid w:val="00AE0B0E"/>
    <w:rsid w:val="00B11566"/>
    <w:rsid w:val="00B24826"/>
    <w:rsid w:val="00B25408"/>
    <w:rsid w:val="00B4229E"/>
    <w:rsid w:val="00B66C93"/>
    <w:rsid w:val="00B84CB4"/>
    <w:rsid w:val="00BB0FF0"/>
    <w:rsid w:val="00BC34BA"/>
    <w:rsid w:val="00BC46E5"/>
    <w:rsid w:val="00BD2515"/>
    <w:rsid w:val="00BD5490"/>
    <w:rsid w:val="00BF5835"/>
    <w:rsid w:val="00C4756D"/>
    <w:rsid w:val="00C722F4"/>
    <w:rsid w:val="00C7306B"/>
    <w:rsid w:val="00C815B9"/>
    <w:rsid w:val="00CC6881"/>
    <w:rsid w:val="00CE4079"/>
    <w:rsid w:val="00D1604C"/>
    <w:rsid w:val="00D22F38"/>
    <w:rsid w:val="00D73AAB"/>
    <w:rsid w:val="00D975E7"/>
    <w:rsid w:val="00E06F79"/>
    <w:rsid w:val="00E12500"/>
    <w:rsid w:val="00E4145F"/>
    <w:rsid w:val="00E65282"/>
    <w:rsid w:val="00E81AD6"/>
    <w:rsid w:val="00EA2FC6"/>
    <w:rsid w:val="00ED0DC2"/>
    <w:rsid w:val="00ED52D1"/>
    <w:rsid w:val="00EF317A"/>
    <w:rsid w:val="00F06338"/>
    <w:rsid w:val="00F119AB"/>
    <w:rsid w:val="00F46987"/>
    <w:rsid w:val="00F547B7"/>
    <w:rsid w:val="00F80446"/>
    <w:rsid w:val="00FA5BC7"/>
    <w:rsid w:val="00FC34BB"/>
    <w:rsid w:val="00FD342A"/>
    <w:rsid w:val="00FD5BC4"/>
    <w:rsid w:val="00FE47BE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32981-519A-41D8-BA4D-A31D47F3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1B5A96"/>
    <w:rPr>
      <w:color w:val="0000FF" w:themeColor="hyperlink"/>
      <w:u w:val="single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1B5A9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B5A9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1B5A96"/>
    <w:rPr>
      <w:rFonts w:ascii="Calibri" w:eastAsia="Calibri" w:hAnsi="Calibri" w:cs="Times New Roman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1B5A96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1B5A9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terprise.alcatel-lucent.com/assets/documents/OmniAccess%20AP320%20Series%20Access%20Points_datasheet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5A6C2-005B-435E-A6B9-3E21D5C3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2064</Words>
  <Characters>11765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javne nabavke</cp:lastModifiedBy>
  <cp:revision>11</cp:revision>
  <cp:lastPrinted>2016-03-21T13:43:00Z</cp:lastPrinted>
  <dcterms:created xsi:type="dcterms:W3CDTF">2016-03-21T10:18:00Z</dcterms:created>
  <dcterms:modified xsi:type="dcterms:W3CDTF">2016-03-21T14:11:00Z</dcterms:modified>
</cp:coreProperties>
</file>